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CD925">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eastAsia="黑体" w:cs="方正黑体_GBK"/>
          <w:sz w:val="32"/>
          <w:szCs w:val="32"/>
          <w:lang w:eastAsia="zh-CN"/>
        </w:rPr>
      </w:pPr>
      <w:r>
        <w:rPr>
          <w:rFonts w:hint="eastAsia" w:ascii="黑体" w:eastAsia="黑体" w:cs="方正黑体_GBK"/>
          <w:sz w:val="32"/>
          <w:szCs w:val="32"/>
        </w:rPr>
        <w:t>附件</w:t>
      </w:r>
      <w:r>
        <w:rPr>
          <w:rFonts w:hint="eastAsia" w:ascii="黑体" w:eastAsia="黑体" w:cs="方正黑体_GBK"/>
          <w:sz w:val="32"/>
          <w:szCs w:val="32"/>
          <w:lang w:val="en-US" w:eastAsia="zh-CN"/>
        </w:rPr>
        <w:t>1</w:t>
      </w:r>
    </w:p>
    <w:p w14:paraId="10E4A9DE">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lang w:val="en-US" w:eastAsia="zh-CN"/>
        </w:rPr>
      </w:pPr>
    </w:p>
    <w:p w14:paraId="41328DF7">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昌平区加快推动场景培育和开放应用</w:t>
      </w:r>
    </w:p>
    <w:p w14:paraId="4856837B">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sz w:val="44"/>
          <w:szCs w:val="44"/>
        </w:rPr>
      </w:pPr>
      <w:bookmarkStart w:id="3" w:name="_GoBack"/>
      <w:bookmarkEnd w:id="3"/>
      <w:r>
        <w:rPr>
          <w:rFonts w:hint="eastAsia" w:ascii="方正小标宋简体" w:hAnsi="方正小标宋简体" w:eastAsia="方正小标宋简体"/>
          <w:sz w:val="44"/>
          <w:szCs w:val="44"/>
        </w:rPr>
        <w:t>工作方案</w:t>
      </w:r>
    </w:p>
    <w:p w14:paraId="2C899F97">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14:paraId="4B756E1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方正小标宋简体" w:eastAsia="仿宋_GB2312"/>
          <w:sz w:val="32"/>
          <w:szCs w:val="32"/>
        </w:rPr>
      </w:pPr>
    </w:p>
    <w:p w14:paraId="78DDBA5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方正小标宋简体" w:eastAsia="仿宋_GB2312"/>
          <w:sz w:val="32"/>
          <w:szCs w:val="32"/>
        </w:rPr>
      </w:pPr>
      <w:r>
        <w:rPr>
          <w:rFonts w:hint="eastAsia" w:ascii="仿宋_GB2312" w:hAnsi="方正小标宋简体" w:eastAsia="仿宋_GB2312"/>
          <w:sz w:val="32"/>
          <w:szCs w:val="32"/>
        </w:rPr>
        <w:t>为深入贯彻国务院办公厅《关于加快场景培育和开放推动新场景大规模应用的实施意见》（国办发〔2025〕37号）和《北京市加快推动场景培育和开放应用工作方案》（京发改规〔202</w:t>
      </w:r>
      <w:r>
        <w:rPr>
          <w:rFonts w:ascii="仿宋_GB2312" w:hAnsi="方正小标宋简体" w:eastAsia="仿宋_GB2312"/>
          <w:sz w:val="32"/>
          <w:szCs w:val="32"/>
        </w:rPr>
        <w:t>6</w:t>
      </w:r>
      <w:r>
        <w:rPr>
          <w:rFonts w:hint="eastAsia" w:ascii="仿宋_GB2312" w:hAnsi="方正小标宋简体" w:eastAsia="仿宋_GB2312"/>
          <w:sz w:val="32"/>
          <w:szCs w:val="32"/>
        </w:rPr>
        <w:t>〕</w:t>
      </w:r>
      <w:r>
        <w:rPr>
          <w:rFonts w:ascii="仿宋_GB2312" w:hAnsi="方正小标宋简体" w:eastAsia="仿宋_GB2312"/>
          <w:sz w:val="32"/>
          <w:szCs w:val="32"/>
        </w:rPr>
        <w:t>4</w:t>
      </w:r>
      <w:r>
        <w:rPr>
          <w:rFonts w:hint="eastAsia" w:ascii="仿宋_GB2312" w:hAnsi="方正小标宋简体" w:eastAsia="仿宋_GB2312"/>
          <w:sz w:val="32"/>
          <w:szCs w:val="32"/>
        </w:rPr>
        <w:t>号），</w:t>
      </w:r>
      <w:r>
        <w:rPr>
          <w:rFonts w:hint="eastAsia" w:ascii="仿宋_GB2312" w:hAnsi="黑体" w:eastAsia="仿宋_GB2312" w:cs="黑体"/>
          <w:sz w:val="32"/>
          <w:szCs w:val="32"/>
        </w:rPr>
        <w:t>立足昌平区资源禀赋与场景供给要素，</w:t>
      </w:r>
      <w:r>
        <w:rPr>
          <w:rFonts w:hint="eastAsia" w:ascii="仿宋_GB2312" w:hAnsi="方正小标宋简体" w:eastAsia="仿宋_GB2312"/>
          <w:sz w:val="32"/>
          <w:szCs w:val="32"/>
        </w:rPr>
        <w:t>系统推动全领域场景培育开放，加速更多新技术、新产品、新业态率先应用推广，赋能首都高质量发展，特制定本工作方案。</w:t>
      </w:r>
    </w:p>
    <w:p w14:paraId="64F39869">
      <w:pPr>
        <w:spacing w:after="0" w:line="560" w:lineRule="exact"/>
        <w:ind w:firstLine="640" w:firstLineChars="200"/>
        <w:textAlignment w:val="baseline"/>
        <w:rPr>
          <w:rStyle w:val="15"/>
          <w:rFonts w:hint="eastAsia" w:ascii="黑体" w:hAnsi="黑体" w:eastAsia="黑体"/>
          <w:color w:val="000000"/>
          <w:sz w:val="32"/>
          <w:szCs w:val="32"/>
        </w:rPr>
      </w:pPr>
      <w:r>
        <w:rPr>
          <w:rStyle w:val="15"/>
          <w:rFonts w:hint="eastAsia" w:ascii="黑体" w:hAnsi="黑体" w:eastAsia="黑体"/>
          <w:color w:val="000000"/>
          <w:sz w:val="32"/>
          <w:szCs w:val="32"/>
        </w:rPr>
        <w:t>一、工作目标</w:t>
      </w:r>
    </w:p>
    <w:p w14:paraId="1C99643E">
      <w:pPr>
        <w:spacing w:after="0" w:line="560" w:lineRule="exact"/>
        <w:ind w:firstLine="640" w:firstLineChars="200"/>
        <w:rPr>
          <w:rFonts w:hint="eastAsia" w:ascii="仿宋_GB2312" w:hAnsi="方正小标宋简体" w:eastAsia="仿宋_GB2312"/>
          <w:sz w:val="32"/>
          <w:szCs w:val="32"/>
        </w:rPr>
      </w:pPr>
      <w:r>
        <w:rPr>
          <w:rFonts w:hint="eastAsia" w:ascii="仿宋_GB2312" w:hAnsi="方正小标宋简体" w:eastAsia="仿宋_GB2312"/>
          <w:sz w:val="32"/>
          <w:szCs w:val="32"/>
        </w:rPr>
        <w:t>坚持以习近平新时代中国特色社会主义思想为指导，深入贯彻党的二十大和二十届历次全会精神，立足昌平区创新资源丰富、央企场景广阔、产业结构多元等基础优势，以场景需求驱动技术创新、以场景开放吸引产业集聚、以场景应用提升发展效能，聚焦重点行业、重大项目、关键主体精准发力，持续推动要素供给、平台搭建，实现为技术找场景、为场景找市场，以场景为桥梁链接技术创新与产业应用，推动新场景规模化商业化产业化应用。到2</w:t>
      </w:r>
      <w:r>
        <w:rPr>
          <w:rFonts w:ascii="仿宋_GB2312" w:hAnsi="方正小标宋简体" w:eastAsia="仿宋_GB2312"/>
          <w:sz w:val="32"/>
          <w:szCs w:val="32"/>
        </w:rPr>
        <w:t>028</w:t>
      </w:r>
      <w:r>
        <w:rPr>
          <w:rFonts w:hint="eastAsia" w:ascii="仿宋_GB2312" w:hAnsi="方正小标宋简体" w:eastAsia="仿宋_GB2312"/>
          <w:sz w:val="32"/>
          <w:szCs w:val="32"/>
        </w:rPr>
        <w:t>年，围绕医药健康、先进能源、先进制造三大主导产业力争打造</w:t>
      </w:r>
      <w:r>
        <w:rPr>
          <w:rFonts w:ascii="仿宋_GB2312" w:hAnsi="方正小标宋简体" w:eastAsia="仿宋_GB2312"/>
          <w:sz w:val="32"/>
          <w:szCs w:val="32"/>
        </w:rPr>
        <w:t>3个国家层面标志性重大应用场景、10个市级示范应用场景、100个区级特色标杆场景</w:t>
      </w:r>
      <w:r>
        <w:rPr>
          <w:rFonts w:hint="eastAsia" w:ascii="仿宋_GB2312" w:hAnsi="方正小标宋简体" w:eastAsia="仿宋_GB2312"/>
          <w:sz w:val="32"/>
          <w:szCs w:val="32"/>
        </w:rPr>
        <w:t>，提升区域产业应用场景核心竞争力。</w:t>
      </w:r>
    </w:p>
    <w:p w14:paraId="302A3D82">
      <w:pPr>
        <w:spacing w:after="0" w:line="560" w:lineRule="exact"/>
        <w:ind w:firstLine="640" w:firstLineChars="200"/>
        <w:textAlignment w:val="baseline"/>
        <w:rPr>
          <w:rFonts w:hint="eastAsia" w:ascii="黑体" w:hAnsi="黑体" w:eastAsia="黑体" w:cs="等线"/>
          <w:color w:val="000000"/>
          <w:sz w:val="32"/>
          <w:szCs w:val="32"/>
        </w:rPr>
      </w:pPr>
      <w:r>
        <w:rPr>
          <w:rStyle w:val="15"/>
          <w:rFonts w:ascii="黑体" w:hAnsi="黑体" w:eastAsia="黑体"/>
          <w:color w:val="000000"/>
          <w:sz w:val="32"/>
          <w:szCs w:val="32"/>
        </w:rPr>
        <w:t>二、重点任务</w:t>
      </w:r>
    </w:p>
    <w:p w14:paraId="5E609F6F">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楷体_GB2312" w:hAnsi="方正小标宋简体" w:eastAsia="楷体_GB2312"/>
          <w:sz w:val="32"/>
          <w:szCs w:val="32"/>
        </w:rPr>
        <w:t>（一）构建产业发展新场景</w:t>
      </w:r>
      <w:r>
        <w:rPr>
          <w:rFonts w:hint="eastAsia" w:ascii="楷体_GB2312" w:hAnsi="方正小标宋简体" w:eastAsia="楷体_GB2312"/>
          <w:sz w:val="32"/>
          <w:szCs w:val="32"/>
        </w:rPr>
        <w:tab/>
      </w:r>
    </w:p>
    <w:p w14:paraId="501E9F01">
      <w:pPr>
        <w:tabs>
          <w:tab w:val="left" w:pos="5460"/>
        </w:tabs>
        <w:spacing w:after="0" w:line="560" w:lineRule="exact"/>
        <w:ind w:firstLine="640" w:firstLineChars="200"/>
        <w:rPr>
          <w:rFonts w:hint="eastAsia" w:ascii="仿宋_GB2312" w:hAnsi="方正小标宋简体" w:eastAsia="仿宋_GB2312"/>
          <w:sz w:val="32"/>
          <w:szCs w:val="32"/>
        </w:rPr>
      </w:pPr>
      <w:r>
        <w:rPr>
          <w:rFonts w:hint="eastAsia" w:ascii="仿宋_GB2312" w:hAnsi="方正小标宋简体" w:eastAsia="仿宋_GB2312"/>
          <w:sz w:val="32"/>
          <w:szCs w:val="32"/>
        </w:rPr>
        <w:t>围绕主导产业发展方向，依托未来科学城“两谷一园”科创主平台和“两口一园”等重点功能区，推动重点企业向高端化绿色化智能化发展，着力打造一批高价值场景示范。</w:t>
      </w:r>
    </w:p>
    <w:p w14:paraId="4A8925D3">
      <w:pPr>
        <w:tabs>
          <w:tab w:val="left" w:pos="5460"/>
        </w:tabs>
        <w:spacing w:after="0" w:line="560" w:lineRule="exact"/>
        <w:ind w:firstLine="643" w:firstLineChars="200"/>
        <w:rPr>
          <w:rFonts w:hint="eastAsia" w:ascii="楷体_GB2312" w:hAnsi="方正小标宋简体" w:eastAsia="楷体_GB2312"/>
          <w:sz w:val="32"/>
          <w:szCs w:val="32"/>
        </w:rPr>
      </w:pPr>
      <w:r>
        <w:rPr>
          <w:rFonts w:ascii="仿宋_GB2312" w:hAnsi="方正小标宋简体" w:eastAsia="仿宋_GB2312"/>
          <w:b/>
          <w:bCs/>
          <w:sz w:val="32"/>
          <w:szCs w:val="32"/>
        </w:rPr>
        <w:t>1.</w:t>
      </w:r>
      <w:r>
        <w:rPr>
          <w:rFonts w:hint="eastAsia" w:ascii="仿宋_GB2312" w:hAnsi="方正小标宋简体" w:eastAsia="仿宋_GB2312"/>
          <w:b/>
          <w:bCs/>
          <w:sz w:val="32"/>
          <w:szCs w:val="32"/>
        </w:rPr>
        <w:t>医药健康方面，</w:t>
      </w:r>
      <w:r>
        <w:rPr>
          <w:rFonts w:hint="eastAsia" w:ascii="仿宋_GB2312" w:hAnsi="方正小标宋简体" w:eastAsia="仿宋_GB2312"/>
          <w:sz w:val="32"/>
          <w:szCs w:val="32"/>
        </w:rPr>
        <w:t>聚焦高端医疗器械、创新药研发等关键领域，针对性布局产业服务平台体系，加强生命科学公共技术转化服务平台建设，鼓励科研机构、高校等面向研发机构和创新企业需求，提供数据分析、设备共享、技术转化、小试中试等全链条的科技服务，进一步降低机构和企业研发成本，打通原始创新成果产业化落地通道。</w:t>
      </w:r>
      <w:r>
        <w:rPr>
          <w:rFonts w:hint="eastAsia" w:ascii="楷体_GB2312" w:hAnsi="方正小标宋简体" w:eastAsia="楷体_GB2312"/>
          <w:sz w:val="32"/>
          <w:szCs w:val="32"/>
        </w:rPr>
        <w:t>（责任单位：医药健康产业处、生命科学服务处、科技园区管委会）</w:t>
      </w:r>
    </w:p>
    <w:p w14:paraId="69ECBE7A">
      <w:pPr>
        <w:tabs>
          <w:tab w:val="left" w:pos="5460"/>
        </w:tabs>
        <w:spacing w:after="0" w:line="560" w:lineRule="exact"/>
        <w:ind w:firstLine="643" w:firstLineChars="200"/>
        <w:rPr>
          <w:rFonts w:hint="eastAsia" w:ascii="仿宋_GB2312" w:hAnsi="方正小标宋简体" w:eastAsia="仿宋_GB2312"/>
          <w:sz w:val="32"/>
          <w:szCs w:val="32"/>
        </w:rPr>
      </w:pPr>
      <w:r>
        <w:rPr>
          <w:rFonts w:ascii="仿宋_GB2312" w:hAnsi="方正小标宋简体" w:eastAsia="仿宋_GB2312"/>
          <w:b/>
          <w:bCs/>
          <w:sz w:val="32"/>
          <w:szCs w:val="32"/>
        </w:rPr>
        <w:t>2.</w:t>
      </w:r>
      <w:r>
        <w:rPr>
          <w:rFonts w:hint="eastAsia" w:ascii="仿宋_GB2312" w:hAnsi="方正小标宋简体" w:eastAsia="仿宋_GB2312"/>
          <w:b/>
          <w:bCs/>
          <w:sz w:val="32"/>
          <w:szCs w:val="32"/>
        </w:rPr>
        <w:t>先进能源方面，</w:t>
      </w:r>
      <w:r>
        <w:rPr>
          <w:rFonts w:hint="eastAsia" w:ascii="仿宋_GB2312" w:hAnsi="方正小标宋简体" w:eastAsia="仿宋_GB2312"/>
          <w:sz w:val="32"/>
          <w:szCs w:val="32"/>
        </w:rPr>
        <w:t>依托未来科学城“能源谷”创新资源集聚优势，发挥能源领域龙头央企链主作用，推进能源产业转型和创新发展，紧盯能源互联网、氢能、风电光伏、储能等方向，加快碳捕集等前沿技术应用，推进虚拟电厂、零碳园区建设。重点围绕创新平台建设、关键技术攻关、应用场景搭建、成果转化落地、技术装备应用、发展要素保障、优质项目集聚等方面持续发力。</w:t>
      </w:r>
      <w:r>
        <w:rPr>
          <w:rFonts w:hint="eastAsia" w:ascii="楷体_GB2312" w:hAnsi="方正小标宋简体" w:eastAsia="楷体_GB2312"/>
          <w:sz w:val="32"/>
          <w:szCs w:val="32"/>
        </w:rPr>
        <w:t>（责任单位：先进能源产业处、规划建设处</w:t>
      </w:r>
      <w:r>
        <w:rPr>
          <w:rFonts w:hint="eastAsia" w:ascii="楷体_GB2312" w:hAnsi="方正小标宋简体" w:eastAsia="楷体_GB2312"/>
          <w:sz w:val="32"/>
          <w:szCs w:val="32"/>
          <w:lang w:eastAsia="zh-CN"/>
        </w:rPr>
        <w:t>、</w:t>
      </w:r>
      <w:r>
        <w:rPr>
          <w:rFonts w:hint="eastAsia" w:ascii="楷体_GB2312" w:hAnsi="方正小标宋简体" w:eastAsia="楷体_GB2312"/>
          <w:sz w:val="32"/>
          <w:szCs w:val="32"/>
        </w:rPr>
        <w:t>区发改委、区城管委）</w:t>
      </w:r>
    </w:p>
    <w:p w14:paraId="2690A58E">
      <w:pPr>
        <w:tabs>
          <w:tab w:val="left" w:pos="5460"/>
        </w:tabs>
        <w:spacing w:after="0" w:line="560" w:lineRule="exact"/>
        <w:ind w:firstLine="643" w:firstLineChars="200"/>
        <w:rPr>
          <w:rFonts w:hint="eastAsia" w:ascii="仿宋_GB2312" w:hAnsi="方正小标宋简体" w:eastAsia="仿宋_GB2312"/>
          <w:b/>
          <w:bCs/>
          <w:sz w:val="32"/>
          <w:szCs w:val="32"/>
        </w:rPr>
      </w:pPr>
      <w:r>
        <w:rPr>
          <w:rFonts w:hint="eastAsia" w:ascii="仿宋_GB2312" w:hAnsi="方正小标宋简体" w:eastAsia="仿宋_GB2312"/>
          <w:b/>
          <w:bCs/>
          <w:sz w:val="32"/>
          <w:szCs w:val="32"/>
        </w:rPr>
        <w:t>3.先进制造方面，</w:t>
      </w:r>
      <w:r>
        <w:rPr>
          <w:rFonts w:hint="eastAsia" w:ascii="仿宋_GB2312" w:hAnsi="黑体" w:eastAsia="仿宋_GB2312" w:cs="黑体"/>
          <w:sz w:val="32"/>
          <w:szCs w:val="32"/>
          <w:lang w:bidi="ar"/>
        </w:rPr>
        <w:t>聚焦高端装备、智能网联汽车、机器人等产业发展需求，推动具身智能、工业大模型等技术装备应用，打造智能工厂、工业视觉检测、柔性制造等标杆示范场景，拓展人形机器人、工业机器人应用场景，加速智能制造技术产品更新迭代。</w:t>
      </w:r>
      <w:r>
        <w:rPr>
          <w:rFonts w:hint="eastAsia" w:ascii="楷体_GB2312" w:hAnsi="黑体" w:eastAsia="楷体_GB2312" w:cs="黑体"/>
          <w:sz w:val="32"/>
          <w:szCs w:val="32"/>
          <w:lang w:bidi="ar"/>
        </w:rPr>
        <w:t>（</w:t>
      </w:r>
      <w:r>
        <w:rPr>
          <w:rFonts w:hint="eastAsia" w:ascii="楷体_GB2312" w:hAnsi="方正小标宋简体" w:eastAsia="楷体_GB2312"/>
          <w:sz w:val="32"/>
          <w:szCs w:val="32"/>
        </w:rPr>
        <w:t>责任单位：</w:t>
      </w:r>
      <w:r>
        <w:rPr>
          <w:rFonts w:hint="eastAsia" w:ascii="楷体_GB2312" w:hAnsi="黑体" w:eastAsia="楷体_GB2312" w:cs="黑体"/>
          <w:sz w:val="32"/>
          <w:szCs w:val="32"/>
          <w:lang w:bidi="ar"/>
        </w:rPr>
        <w:t>区经信局）</w:t>
      </w:r>
    </w:p>
    <w:p w14:paraId="3720CAB4">
      <w:pPr>
        <w:tabs>
          <w:tab w:val="left" w:pos="5460"/>
        </w:tabs>
        <w:spacing w:after="0" w:line="560" w:lineRule="exact"/>
        <w:ind w:firstLine="643" w:firstLineChars="200"/>
        <w:rPr>
          <w:rFonts w:hint="eastAsia" w:ascii="楷体_GB2312" w:hAnsi="方正小标宋简体" w:eastAsia="楷体_GB2312"/>
          <w:b/>
          <w:bCs/>
          <w:sz w:val="32"/>
          <w:szCs w:val="32"/>
        </w:rPr>
      </w:pPr>
      <w:r>
        <w:rPr>
          <w:rFonts w:hint="eastAsia" w:ascii="仿宋_GB2312" w:hAnsi="方正小标宋简体" w:eastAsia="仿宋_GB2312"/>
          <w:b/>
          <w:bCs/>
          <w:sz w:val="32"/>
          <w:szCs w:val="32"/>
        </w:rPr>
        <w:t>4.人工智能方面，</w:t>
      </w:r>
      <w:r>
        <w:rPr>
          <w:rFonts w:hint="eastAsia" w:ascii="仿宋_GB2312" w:hAnsi="黑体" w:eastAsia="仿宋_GB2312" w:cs="黑体"/>
          <w:sz w:val="32"/>
          <w:szCs w:val="32"/>
          <w:lang w:bidi="ar"/>
        </w:rPr>
        <w:t>紧扣《昌平区推动“人工智能+”创新发展行动计划（2026—2028年）》建设目标，聚焦“人工智能+生命健康”“人工智能+能源”重点方向，围绕科研探索、产业升级、民生服务、城市治理等十大领域，持续完善场景挖掘、验证、推广全链条培育机制，支持新技术开展试点示范，加速大模型、智能装备、算力基础设施落地，打造特色AI应用样板。</w:t>
      </w:r>
      <w:r>
        <w:rPr>
          <w:rFonts w:hint="eastAsia" w:ascii="楷体_GB2312" w:eastAsia="楷体_GB2312"/>
          <w:sz w:val="32"/>
          <w:szCs w:val="32"/>
        </w:rPr>
        <w:t>（</w:t>
      </w:r>
      <w:r>
        <w:rPr>
          <w:rFonts w:hint="eastAsia" w:ascii="楷体_GB2312" w:hAnsi="方正小标宋简体" w:eastAsia="楷体_GB2312"/>
          <w:sz w:val="32"/>
          <w:szCs w:val="32"/>
        </w:rPr>
        <w:t>责任单位：</w:t>
      </w:r>
      <w:r>
        <w:rPr>
          <w:rFonts w:hint="eastAsia" w:ascii="楷体_GB2312" w:eastAsia="楷体_GB2312"/>
          <w:sz w:val="32"/>
          <w:szCs w:val="32"/>
        </w:rPr>
        <w:t>区发改委、各行业主管部门、各园区管委会）</w:t>
      </w:r>
    </w:p>
    <w:p w14:paraId="464C8AA4">
      <w:pPr>
        <w:tabs>
          <w:tab w:val="left" w:pos="5460"/>
        </w:tabs>
        <w:spacing w:after="0" w:line="560" w:lineRule="exact"/>
        <w:ind w:firstLine="643" w:firstLineChars="200"/>
        <w:rPr>
          <w:rFonts w:hint="eastAsia" w:ascii="楷体_GB2312" w:hAnsi="黑体" w:eastAsia="楷体_GB2312" w:cs="黑体"/>
          <w:sz w:val="32"/>
          <w:szCs w:val="32"/>
          <w:lang w:bidi="ar"/>
        </w:rPr>
      </w:pPr>
      <w:r>
        <w:rPr>
          <w:rFonts w:hint="eastAsia" w:ascii="仿宋_GB2312" w:hAnsi="黑体" w:eastAsia="仿宋_GB2312" w:cs="黑体"/>
          <w:b/>
          <w:bCs/>
          <w:sz w:val="32"/>
          <w:szCs w:val="32"/>
          <w:lang w:bidi="ar"/>
        </w:rPr>
        <w:t>5</w:t>
      </w:r>
      <w:r>
        <w:rPr>
          <w:rFonts w:ascii="仿宋_GB2312" w:hAnsi="黑体" w:eastAsia="仿宋_GB2312" w:cs="黑体"/>
          <w:b/>
          <w:bCs/>
          <w:sz w:val="32"/>
          <w:szCs w:val="32"/>
          <w:lang w:bidi="ar"/>
        </w:rPr>
        <w:t>.</w:t>
      </w:r>
      <w:r>
        <w:rPr>
          <w:rFonts w:hint="eastAsia" w:ascii="仿宋_GB2312" w:hAnsi="黑体" w:eastAsia="仿宋_GB2312" w:cs="黑体"/>
          <w:b/>
          <w:bCs/>
          <w:sz w:val="32"/>
          <w:szCs w:val="32"/>
          <w:lang w:bidi="ar"/>
        </w:rPr>
        <w:t>新兴产业方面，</w:t>
      </w:r>
      <w:r>
        <w:rPr>
          <w:rFonts w:hint="eastAsia" w:ascii="仿宋_GB2312" w:hAnsi="黑体" w:eastAsia="仿宋_GB2312" w:cs="黑体"/>
          <w:sz w:val="32"/>
          <w:szCs w:val="32"/>
          <w:lang w:bidi="ar"/>
        </w:rPr>
        <w:t>围绕培育壮大高端医疗器械、美丽经济、能源互联网、储能、氢能、机器人、合成生物等新兴产业，聚焦新技术、新赛道，培育一批创新场景，助力新兴产业的聚集与壮大，实现“拓业扩面”。</w:t>
      </w:r>
      <w:r>
        <w:rPr>
          <w:rFonts w:hint="eastAsia" w:ascii="楷体_GB2312" w:hAnsi="黑体" w:eastAsia="楷体_GB2312" w:cs="黑体"/>
          <w:sz w:val="32"/>
          <w:szCs w:val="32"/>
          <w:lang w:bidi="ar"/>
        </w:rPr>
        <w:t>（</w:t>
      </w:r>
      <w:r>
        <w:rPr>
          <w:rFonts w:hint="eastAsia" w:ascii="楷体_GB2312" w:hAnsi="方正小标宋简体" w:eastAsia="楷体_GB2312"/>
          <w:sz w:val="32"/>
          <w:szCs w:val="32"/>
        </w:rPr>
        <w:t>责任单位：</w:t>
      </w:r>
      <w:r>
        <w:rPr>
          <w:rFonts w:hint="eastAsia" w:ascii="楷体_GB2312" w:hAnsi="黑体" w:eastAsia="楷体_GB2312" w:cs="黑体"/>
          <w:sz w:val="32"/>
          <w:szCs w:val="32"/>
          <w:lang w:bidi="ar"/>
        </w:rPr>
        <w:t>区经信局、</w:t>
      </w:r>
      <w:r>
        <w:rPr>
          <w:rFonts w:hint="eastAsia" w:ascii="楷体_GB2312" w:hAnsi="方正小标宋简体" w:eastAsia="楷体_GB2312"/>
          <w:sz w:val="32"/>
          <w:szCs w:val="32"/>
        </w:rPr>
        <w:t>先进能源产业处、医药健康产业处、生命科学服务处、科技园区管委会</w:t>
      </w:r>
      <w:r>
        <w:rPr>
          <w:rFonts w:hint="eastAsia" w:ascii="楷体_GB2312" w:hAnsi="黑体" w:eastAsia="楷体_GB2312" w:cs="黑体"/>
          <w:sz w:val="32"/>
          <w:szCs w:val="32"/>
          <w:lang w:bidi="ar"/>
        </w:rPr>
        <w:t>）</w:t>
      </w:r>
    </w:p>
    <w:p w14:paraId="6B315675">
      <w:pPr>
        <w:tabs>
          <w:tab w:val="left" w:pos="5460"/>
        </w:tabs>
        <w:spacing w:after="0" w:line="560" w:lineRule="exact"/>
        <w:ind w:firstLine="643" w:firstLineChars="200"/>
        <w:rPr>
          <w:rFonts w:hint="eastAsia" w:ascii="楷体_GB2312" w:hAnsi="黑体" w:eastAsia="楷体_GB2312" w:cs="黑体"/>
          <w:sz w:val="32"/>
          <w:szCs w:val="32"/>
          <w:lang w:bidi="ar"/>
        </w:rPr>
      </w:pPr>
      <w:r>
        <w:rPr>
          <w:rFonts w:hint="eastAsia" w:ascii="仿宋_GB2312" w:hAnsi="黑体" w:eastAsia="仿宋_GB2312" w:cs="黑体"/>
          <w:b/>
          <w:bCs/>
          <w:sz w:val="32"/>
          <w:szCs w:val="32"/>
          <w:lang w:bidi="ar"/>
        </w:rPr>
        <w:t>6</w:t>
      </w:r>
      <w:r>
        <w:rPr>
          <w:rFonts w:ascii="仿宋_GB2312" w:hAnsi="黑体" w:eastAsia="仿宋_GB2312" w:cs="黑体"/>
          <w:b/>
          <w:bCs/>
          <w:sz w:val="32"/>
          <w:szCs w:val="32"/>
          <w:lang w:bidi="ar"/>
        </w:rPr>
        <w:t>.</w:t>
      </w:r>
      <w:r>
        <w:rPr>
          <w:rFonts w:hint="eastAsia" w:ascii="仿宋_GB2312" w:hAnsi="黑体" w:eastAsia="仿宋_GB2312" w:cs="黑体"/>
          <w:b/>
          <w:bCs/>
          <w:sz w:val="32"/>
          <w:szCs w:val="32"/>
          <w:lang w:bidi="ar"/>
        </w:rPr>
        <w:t>未来产业方面，</w:t>
      </w:r>
      <w:r>
        <w:rPr>
          <w:rFonts w:hint="eastAsia" w:ascii="仿宋_GB2312" w:hAnsi="黑体" w:eastAsia="仿宋_GB2312" w:cs="黑体"/>
          <w:sz w:val="32"/>
          <w:szCs w:val="32"/>
          <w:lang w:bidi="ar"/>
        </w:rPr>
        <w:t>聚焦前沿赛道招引、培育一批未来场景，围绕布局脑科学与脑机接口、细胞基因治疗、</w:t>
      </w:r>
      <w:r>
        <w:rPr>
          <w:rFonts w:ascii="仿宋_GB2312" w:hAnsi="黑体" w:eastAsia="仿宋_GB2312" w:cs="黑体"/>
          <w:sz w:val="32"/>
          <w:szCs w:val="32"/>
          <w:lang w:bidi="ar"/>
        </w:rPr>
        <w:t>6G、量子等未来产业，推进场景挖掘、场景设计与前沿技术交叉融合应用，通过成果转化、适配验证和产业化合作，培育推广未来产业技术产品。</w:t>
      </w:r>
      <w:r>
        <w:rPr>
          <w:rFonts w:hint="eastAsia" w:ascii="楷体_GB2312" w:hAnsi="黑体" w:eastAsia="楷体_GB2312" w:cs="黑体"/>
          <w:sz w:val="32"/>
          <w:szCs w:val="32"/>
          <w:lang w:bidi="ar"/>
        </w:rPr>
        <w:t>（</w:t>
      </w:r>
      <w:r>
        <w:rPr>
          <w:rFonts w:hint="eastAsia" w:ascii="楷体_GB2312" w:hAnsi="方正小标宋简体" w:eastAsia="楷体_GB2312"/>
          <w:sz w:val="32"/>
          <w:szCs w:val="32"/>
        </w:rPr>
        <w:t>责任单位：</w:t>
      </w:r>
      <w:r>
        <w:rPr>
          <w:rFonts w:hint="eastAsia" w:ascii="楷体_GB2312" w:hAnsi="黑体" w:eastAsia="楷体_GB2312" w:cs="黑体"/>
          <w:sz w:val="32"/>
          <w:szCs w:val="32"/>
          <w:lang w:bidi="ar"/>
        </w:rPr>
        <w:t>区经信局、</w:t>
      </w:r>
      <w:r>
        <w:rPr>
          <w:rFonts w:hint="eastAsia" w:ascii="楷体_GB2312" w:hAnsi="方正小标宋简体" w:eastAsia="楷体_GB2312"/>
          <w:sz w:val="32"/>
          <w:szCs w:val="32"/>
        </w:rPr>
        <w:t>先进能源产业处、医药健康产业处、生命科学服务处、科技园区管委会</w:t>
      </w:r>
      <w:r>
        <w:rPr>
          <w:rFonts w:hint="eastAsia" w:ascii="楷体_GB2312" w:hAnsi="黑体" w:eastAsia="楷体_GB2312" w:cs="黑体"/>
          <w:sz w:val="32"/>
          <w:szCs w:val="32"/>
          <w:lang w:bidi="ar"/>
        </w:rPr>
        <w:t>）</w:t>
      </w:r>
    </w:p>
    <w:p w14:paraId="60B55E50">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楷体_GB2312" w:hAnsi="方正小标宋简体" w:eastAsia="楷体_GB2312"/>
          <w:sz w:val="32"/>
          <w:szCs w:val="32"/>
        </w:rPr>
        <w:t>（二）创新高效公共服务场景</w:t>
      </w:r>
    </w:p>
    <w:p w14:paraId="5BA04FF8">
      <w:pPr>
        <w:tabs>
          <w:tab w:val="left" w:pos="5460"/>
        </w:tabs>
        <w:spacing w:after="0" w:line="560" w:lineRule="exact"/>
        <w:ind w:firstLine="640" w:firstLineChars="200"/>
        <w:rPr>
          <w:rFonts w:hint="eastAsia" w:ascii="仿宋_GB2312" w:hAnsi="方正小标宋简体" w:eastAsia="仿宋_GB2312"/>
          <w:sz w:val="32"/>
          <w:szCs w:val="32"/>
        </w:rPr>
      </w:pPr>
      <w:r>
        <w:rPr>
          <w:rFonts w:hint="eastAsia" w:ascii="仿宋_GB2312" w:hAnsi="方正小标宋简体" w:eastAsia="仿宋_GB2312"/>
          <w:sz w:val="32"/>
          <w:szCs w:val="32"/>
        </w:rPr>
        <w:t>创新城市治理服务综合性应用场景，推进城市管理、民生需要、应急安全等领域场景开放，提高城市治理效能。持续丰富教育、医疗、养老等领域场景供给，以科技赋能美好生活。</w:t>
      </w:r>
    </w:p>
    <w:p w14:paraId="625E5313">
      <w:pPr>
        <w:tabs>
          <w:tab w:val="left" w:pos="5460"/>
        </w:tabs>
        <w:spacing w:after="0" w:line="560" w:lineRule="exact"/>
        <w:ind w:firstLine="643" w:firstLineChars="200"/>
        <w:rPr>
          <w:rFonts w:hint="eastAsia" w:ascii="楷体_GB2312" w:hAnsi="方正小标宋简体" w:eastAsia="楷体_GB2312"/>
          <w:sz w:val="32"/>
          <w:szCs w:val="32"/>
        </w:rPr>
      </w:pPr>
      <w:r>
        <w:rPr>
          <w:rFonts w:hint="eastAsia" w:ascii="仿宋_GB2312" w:hAnsi="方正小标宋简体" w:eastAsia="仿宋_GB2312"/>
          <w:b/>
          <w:bCs/>
          <w:sz w:val="32"/>
          <w:szCs w:val="32"/>
        </w:rPr>
        <w:t>1</w:t>
      </w:r>
      <w:r>
        <w:rPr>
          <w:rFonts w:ascii="仿宋_GB2312" w:hAnsi="方正小标宋简体" w:eastAsia="仿宋_GB2312"/>
          <w:b/>
          <w:bCs/>
          <w:sz w:val="32"/>
          <w:szCs w:val="32"/>
        </w:rPr>
        <w:t>.</w:t>
      </w:r>
      <w:r>
        <w:rPr>
          <w:rFonts w:hint="eastAsia" w:ascii="仿宋_GB2312" w:hAnsi="方正小标宋简体" w:eastAsia="仿宋_GB2312"/>
          <w:b/>
          <w:bCs/>
          <w:sz w:val="32"/>
          <w:szCs w:val="32"/>
        </w:rPr>
        <w:t>城市治理方面，</w:t>
      </w:r>
      <w:r>
        <w:rPr>
          <w:rFonts w:hint="eastAsia" w:ascii="仿宋_GB2312" w:hAnsi="方正小标宋简体" w:eastAsia="仿宋_GB2312"/>
          <w:sz w:val="32"/>
          <w:szCs w:val="32"/>
        </w:rPr>
        <w:t>推动政务服务场景空间资源开放，推广政务知识图谱、智能客服、材料预审等场景应用。推动政务服务全流程智能化，创新政务服务领域大模型应用场景。拓展“一网通办”应用场景，推进“高效办成一件事”重点事项相关场景建设。迭代升级“回天大脑”，</w:t>
      </w:r>
      <w:r>
        <w:rPr>
          <w:rFonts w:ascii="仿宋_GB2312" w:hAnsi="方正小标宋简体" w:eastAsia="仿宋_GB2312"/>
          <w:sz w:val="32"/>
          <w:szCs w:val="32"/>
        </w:rPr>
        <w:t>对具备拓展条件的场景实现应接尽接，进一步</w:t>
      </w:r>
      <w:r>
        <w:rPr>
          <w:rFonts w:hint="eastAsia" w:ascii="仿宋_GB2312" w:hAnsi="方正小标宋简体" w:eastAsia="仿宋_GB2312"/>
          <w:sz w:val="32"/>
          <w:szCs w:val="32"/>
        </w:rPr>
        <w:t>完善</w:t>
      </w:r>
      <w:r>
        <w:rPr>
          <w:rFonts w:ascii="仿宋_GB2312" w:hAnsi="方正小标宋简体" w:eastAsia="仿宋_GB2312"/>
          <w:sz w:val="32"/>
          <w:szCs w:val="32"/>
        </w:rPr>
        <w:t>场景功能，提升服务精准度；充分发挥优质数据资源与数字化</w:t>
      </w:r>
      <w:r>
        <w:rPr>
          <w:rFonts w:hint="eastAsia" w:ascii="仿宋_GB2312" w:hAnsi="方正小标宋简体" w:eastAsia="仿宋_GB2312"/>
          <w:sz w:val="32"/>
          <w:szCs w:val="32"/>
        </w:rPr>
        <w:t>赋能</w:t>
      </w:r>
      <w:r>
        <w:rPr>
          <w:rFonts w:ascii="仿宋_GB2312" w:hAnsi="方正小标宋简体" w:eastAsia="仿宋_GB2312"/>
          <w:sz w:val="32"/>
          <w:szCs w:val="32"/>
        </w:rPr>
        <w:t>，推动基层治理与社区治理实践</w:t>
      </w:r>
      <w:r>
        <w:rPr>
          <w:rFonts w:hint="eastAsia" w:ascii="仿宋_GB2312" w:hAnsi="方正小标宋简体" w:eastAsia="仿宋_GB2312"/>
          <w:sz w:val="32"/>
          <w:szCs w:val="32"/>
        </w:rPr>
        <w:t>深度融合。</w:t>
      </w:r>
      <w:r>
        <w:rPr>
          <w:rFonts w:hint="eastAsia" w:ascii="楷体_GB2312" w:hAnsi="方正小标宋简体" w:eastAsia="楷体_GB2312"/>
          <w:sz w:val="32"/>
          <w:szCs w:val="32"/>
        </w:rPr>
        <w:t>（责任单位：区政数局、回天专班）</w:t>
      </w:r>
    </w:p>
    <w:p w14:paraId="32B6785C">
      <w:pPr>
        <w:tabs>
          <w:tab w:val="left" w:pos="5460"/>
        </w:tabs>
        <w:spacing w:after="0" w:line="560" w:lineRule="exact"/>
        <w:ind w:firstLine="643" w:firstLineChars="200"/>
        <w:rPr>
          <w:rFonts w:hint="eastAsia" w:ascii="楷体_GB2312" w:hAnsi="方正小标宋简体" w:eastAsia="楷体_GB2312"/>
          <w:sz w:val="32"/>
          <w:szCs w:val="32"/>
        </w:rPr>
      </w:pPr>
      <w:r>
        <w:rPr>
          <w:rFonts w:ascii="仿宋_GB2312" w:hAnsi="方正小标宋简体" w:eastAsia="仿宋_GB2312"/>
          <w:b/>
          <w:bCs/>
          <w:sz w:val="32"/>
          <w:szCs w:val="32"/>
        </w:rPr>
        <w:t>2.</w:t>
      </w:r>
      <w:r>
        <w:rPr>
          <w:rFonts w:hint="eastAsia" w:ascii="仿宋_GB2312" w:hAnsi="方正小标宋简体" w:eastAsia="仿宋_GB2312"/>
          <w:b/>
          <w:bCs/>
          <w:sz w:val="32"/>
          <w:szCs w:val="32"/>
        </w:rPr>
        <w:t>智慧</w:t>
      </w:r>
      <w:r>
        <w:rPr>
          <w:rFonts w:ascii="仿宋_GB2312" w:hAnsi="方正小标宋简体" w:eastAsia="仿宋_GB2312"/>
          <w:b/>
          <w:bCs/>
          <w:sz w:val="32"/>
          <w:szCs w:val="32"/>
        </w:rPr>
        <w:t>教育</w:t>
      </w:r>
      <w:r>
        <w:rPr>
          <w:rFonts w:hint="eastAsia" w:ascii="仿宋_GB2312" w:hAnsi="方正小标宋简体" w:eastAsia="仿宋_GB2312"/>
          <w:b/>
          <w:bCs/>
          <w:sz w:val="32"/>
          <w:szCs w:val="32"/>
        </w:rPr>
        <w:t>方面，</w:t>
      </w:r>
      <w:r>
        <w:rPr>
          <w:rFonts w:ascii="仿宋_GB2312" w:hAnsi="方正小标宋简体" w:eastAsia="仿宋_GB2312"/>
          <w:sz w:val="32"/>
          <w:szCs w:val="32"/>
        </w:rPr>
        <w:t>支持全区中小学及职业教育学校围绕课堂教学、课后服务等领域，开展AI智慧课堂系统、个性化学习分析引擎、VR/AR沉浸式学科工具及智能学情诊断平台等场景应用。</w:t>
      </w:r>
      <w:r>
        <w:rPr>
          <w:rFonts w:hint="eastAsia" w:ascii="仿宋_GB2312" w:hAnsi="方正小标宋简体" w:eastAsia="仿宋_GB2312"/>
          <w:sz w:val="32"/>
          <w:szCs w:val="32"/>
        </w:rPr>
        <w:t>鼓励并支持区内相关企业面向中小学生开放人工智能技术应用场景游学点位，强化沉浸式感知，激发中小学生创新意识。深化人工智能教育模型推广，以“技术赋能</w:t>
      </w:r>
      <w:r>
        <w:rPr>
          <w:rFonts w:ascii="仿宋_GB2312" w:hAnsi="方正小标宋简体" w:eastAsia="仿宋_GB2312"/>
          <w:sz w:val="32"/>
          <w:szCs w:val="32"/>
        </w:rPr>
        <w:t>+场景创新</w:t>
      </w:r>
      <w:r>
        <w:rPr>
          <w:rFonts w:hint="eastAsia" w:ascii="仿宋_GB2312" w:hAnsi="方正小标宋简体" w:eastAsia="仿宋_GB2312"/>
          <w:sz w:val="32"/>
          <w:szCs w:val="32"/>
          <w:lang w:eastAsia="zh-CN"/>
        </w:rPr>
        <w:t>”</w:t>
      </w:r>
      <w:r>
        <w:rPr>
          <w:rFonts w:ascii="仿宋_GB2312" w:hAnsi="方正小标宋简体" w:eastAsia="仿宋_GB2312"/>
          <w:sz w:val="32"/>
          <w:szCs w:val="32"/>
        </w:rPr>
        <w:t>双轮驱动，遴选一批应用场景</w:t>
      </w:r>
      <w:r>
        <w:rPr>
          <w:rFonts w:hint="eastAsia" w:ascii="仿宋_GB2312" w:hAnsi="方正小标宋简体" w:eastAsia="仿宋_GB2312"/>
          <w:sz w:val="32"/>
          <w:szCs w:val="32"/>
        </w:rPr>
        <w:t>、建设</w:t>
      </w:r>
      <w:r>
        <w:rPr>
          <w:rFonts w:ascii="仿宋_GB2312" w:hAnsi="方正小标宋简体" w:eastAsia="仿宋_GB2312"/>
          <w:sz w:val="32"/>
          <w:szCs w:val="32"/>
        </w:rPr>
        <w:t>一批标杆学校、</w:t>
      </w:r>
      <w:r>
        <w:rPr>
          <w:rFonts w:hint="eastAsia" w:ascii="仿宋_GB2312" w:hAnsi="方正小标宋简体" w:eastAsia="仿宋_GB2312"/>
          <w:sz w:val="32"/>
          <w:szCs w:val="32"/>
        </w:rPr>
        <w:t>推进</w:t>
      </w:r>
      <w:r>
        <w:rPr>
          <w:rFonts w:ascii="仿宋_GB2312" w:hAnsi="方正小标宋简体" w:eastAsia="仿宋_GB2312"/>
          <w:sz w:val="32"/>
          <w:szCs w:val="32"/>
        </w:rPr>
        <w:t>一批融合项目，</w:t>
      </w:r>
      <w:r>
        <w:rPr>
          <w:rFonts w:hint="eastAsia" w:ascii="仿宋_GB2312" w:hAnsi="方正小标宋简体" w:eastAsia="仿宋_GB2312"/>
          <w:sz w:val="32"/>
          <w:szCs w:val="32"/>
        </w:rPr>
        <w:t>实现</w:t>
      </w:r>
      <w:r>
        <w:rPr>
          <w:rFonts w:ascii="仿宋_GB2312" w:hAnsi="方正小标宋简体" w:eastAsia="仿宋_GB2312"/>
          <w:sz w:val="32"/>
          <w:szCs w:val="32"/>
        </w:rPr>
        <w:t>教学</w:t>
      </w:r>
      <w:r>
        <w:rPr>
          <w:rFonts w:hint="eastAsia" w:ascii="仿宋_GB2312" w:hAnsi="方正小标宋简体" w:eastAsia="仿宋_GB2312"/>
          <w:sz w:val="32"/>
          <w:szCs w:val="32"/>
        </w:rPr>
        <w:t>“</w:t>
      </w:r>
      <w:r>
        <w:rPr>
          <w:rFonts w:ascii="仿宋_GB2312" w:hAnsi="方正小标宋简体" w:eastAsia="仿宋_GB2312"/>
          <w:sz w:val="32"/>
          <w:szCs w:val="32"/>
        </w:rPr>
        <w:t>场景</w:t>
      </w:r>
      <w:r>
        <w:rPr>
          <w:rFonts w:hint="eastAsia" w:ascii="仿宋_GB2312" w:hAnsi="方正小标宋简体" w:eastAsia="仿宋_GB2312"/>
          <w:sz w:val="32"/>
          <w:szCs w:val="32"/>
        </w:rPr>
        <w:t>”</w:t>
      </w:r>
      <w:r>
        <w:rPr>
          <w:rFonts w:ascii="仿宋_GB2312" w:hAnsi="方正小标宋简体" w:eastAsia="仿宋_GB2312"/>
          <w:sz w:val="32"/>
          <w:szCs w:val="32"/>
        </w:rPr>
        <w:t>向</w:t>
      </w:r>
      <w:r>
        <w:rPr>
          <w:rFonts w:hint="eastAsia" w:ascii="仿宋_GB2312" w:hAnsi="方正小标宋简体" w:eastAsia="仿宋_GB2312"/>
          <w:sz w:val="32"/>
          <w:szCs w:val="32"/>
        </w:rPr>
        <w:t>“</w:t>
      </w:r>
      <w:r>
        <w:rPr>
          <w:rFonts w:ascii="仿宋_GB2312" w:hAnsi="方正小标宋简体" w:eastAsia="仿宋_GB2312"/>
          <w:sz w:val="32"/>
          <w:szCs w:val="32"/>
        </w:rPr>
        <w:t>生态</w:t>
      </w:r>
      <w:r>
        <w:rPr>
          <w:rFonts w:hint="eastAsia" w:ascii="仿宋_GB2312" w:hAnsi="方正小标宋简体" w:eastAsia="仿宋_GB2312"/>
          <w:sz w:val="32"/>
          <w:szCs w:val="32"/>
        </w:rPr>
        <w:t>”</w:t>
      </w:r>
      <w:r>
        <w:rPr>
          <w:rFonts w:ascii="仿宋_GB2312" w:hAnsi="方正小标宋简体" w:eastAsia="仿宋_GB2312"/>
          <w:sz w:val="32"/>
          <w:szCs w:val="32"/>
        </w:rPr>
        <w:t>转变，支撑全民人工智能素养提升体系建设</w:t>
      </w:r>
      <w:r>
        <w:rPr>
          <w:rFonts w:hint="eastAsia" w:ascii="仿宋_GB2312" w:hAnsi="方正小标宋简体" w:eastAsia="仿宋_GB2312"/>
          <w:sz w:val="32"/>
          <w:szCs w:val="32"/>
        </w:rPr>
        <w:t>。</w:t>
      </w:r>
      <w:r>
        <w:rPr>
          <w:rFonts w:hint="eastAsia" w:ascii="楷体_GB2312" w:hAnsi="方正小标宋简体" w:eastAsia="楷体_GB2312"/>
          <w:sz w:val="32"/>
          <w:szCs w:val="32"/>
        </w:rPr>
        <w:t>（责任单位：区教委、昌发展公司）</w:t>
      </w:r>
    </w:p>
    <w:p w14:paraId="0D1139C8">
      <w:pPr>
        <w:tabs>
          <w:tab w:val="left" w:pos="5460"/>
        </w:tabs>
        <w:spacing w:after="0" w:line="560" w:lineRule="exact"/>
        <w:ind w:firstLine="643" w:firstLineChars="200"/>
        <w:rPr>
          <w:rFonts w:hint="eastAsia" w:ascii="楷体_GB2312" w:hAnsi="方正小标宋简体" w:eastAsia="楷体_GB2312"/>
          <w:sz w:val="32"/>
          <w:szCs w:val="32"/>
        </w:rPr>
      </w:pPr>
      <w:r>
        <w:rPr>
          <w:rFonts w:ascii="仿宋_GB2312" w:hAnsi="方正小标宋简体" w:eastAsia="仿宋_GB2312"/>
          <w:b/>
          <w:bCs/>
          <w:sz w:val="32"/>
          <w:szCs w:val="32"/>
        </w:rPr>
        <w:t>3.</w:t>
      </w:r>
      <w:r>
        <w:rPr>
          <w:rFonts w:hint="eastAsia" w:ascii="仿宋_GB2312" w:hAnsi="方正小标宋简体" w:eastAsia="仿宋_GB2312"/>
          <w:b/>
          <w:bCs/>
          <w:sz w:val="32"/>
          <w:szCs w:val="32"/>
        </w:rPr>
        <w:t>智慧医疗方面，</w:t>
      </w:r>
      <w:r>
        <w:rPr>
          <w:rFonts w:eastAsia="仿宋_GB2312"/>
          <w:sz w:val="32"/>
          <w:szCs w:val="32"/>
        </w:rPr>
        <w:t>鼓励医院牵头研发应用医疗大模型和智能体，推动人工智能在医疗场景的大规模应用</w:t>
      </w:r>
      <w:r>
        <w:rPr>
          <w:rFonts w:hint="eastAsia" w:eastAsia="仿宋_GB2312"/>
          <w:sz w:val="32"/>
          <w:szCs w:val="32"/>
        </w:rPr>
        <w:t>。</w:t>
      </w:r>
      <w:r>
        <w:rPr>
          <w:rFonts w:hint="eastAsia" w:ascii="仿宋_GB2312" w:hAnsi="方正小标宋简体" w:eastAsia="仿宋_GB2312"/>
          <w:sz w:val="32"/>
          <w:szCs w:val="32"/>
        </w:rPr>
        <w:t>推动以</w:t>
      </w:r>
      <w:r>
        <w:rPr>
          <w:rFonts w:ascii="仿宋_GB2312" w:hAnsi="方正小标宋简体" w:eastAsia="仿宋_GB2312"/>
          <w:sz w:val="32"/>
          <w:szCs w:val="32"/>
        </w:rPr>
        <w:t>AI为核心的</w:t>
      </w:r>
      <w:r>
        <w:rPr>
          <w:rFonts w:hint="eastAsia" w:ascii="仿宋_GB2312" w:hAnsi="方正小标宋简体" w:eastAsia="仿宋_GB2312"/>
          <w:sz w:val="32"/>
          <w:szCs w:val="32"/>
        </w:rPr>
        <w:t>“</w:t>
      </w:r>
      <w:r>
        <w:rPr>
          <w:rFonts w:ascii="仿宋_GB2312" w:hAnsi="方正小标宋简体" w:eastAsia="仿宋_GB2312"/>
          <w:sz w:val="32"/>
          <w:szCs w:val="32"/>
        </w:rPr>
        <w:t>筛-诊-治-康-管</w:t>
      </w:r>
      <w:r>
        <w:rPr>
          <w:rFonts w:hint="eastAsia" w:ascii="仿宋_GB2312" w:hAnsi="方正小标宋简体" w:eastAsia="仿宋_GB2312"/>
          <w:sz w:val="32"/>
          <w:szCs w:val="32"/>
        </w:rPr>
        <w:t>”</w:t>
      </w:r>
      <w:r>
        <w:rPr>
          <w:rFonts w:ascii="仿宋_GB2312" w:hAnsi="方正小标宋简体" w:eastAsia="仿宋_GB2312"/>
          <w:sz w:val="32"/>
          <w:szCs w:val="32"/>
        </w:rPr>
        <w:t>全闭环区域医疗健康体系建设</w:t>
      </w:r>
      <w:r>
        <w:rPr>
          <w:rFonts w:hint="eastAsia" w:ascii="仿宋_GB2312" w:hAnsi="方正小标宋简体" w:eastAsia="仿宋_GB2312"/>
          <w:sz w:val="32"/>
          <w:szCs w:val="32"/>
        </w:rPr>
        <w:t>，聚焦智慧医疗、精准诊疗、</w:t>
      </w:r>
      <w:r>
        <w:rPr>
          <w:rFonts w:ascii="仿宋_GB2312" w:hAnsi="方正小标宋简体" w:eastAsia="仿宋_GB2312"/>
          <w:sz w:val="32"/>
          <w:szCs w:val="32"/>
        </w:rPr>
        <w:t>AI辅助诊断、脑机接口、康复科技等方向，鼓励医药健康企业围绕</w:t>
      </w:r>
      <w:r>
        <w:rPr>
          <w:rFonts w:hint="eastAsia" w:ascii="仿宋_GB2312" w:hAnsi="方正小标宋简体" w:eastAsia="仿宋_GB2312"/>
          <w:sz w:val="32"/>
          <w:szCs w:val="32"/>
        </w:rPr>
        <w:t>骨科、眼科、精神科</w:t>
      </w:r>
      <w:r>
        <w:rPr>
          <w:rFonts w:ascii="仿宋_GB2312" w:hAnsi="方正小标宋简体" w:eastAsia="仿宋_GB2312"/>
          <w:sz w:val="32"/>
          <w:szCs w:val="32"/>
        </w:rPr>
        <w:t>等领域创新健康管理和服务场景，实现早筛早诊和精准医疗。</w:t>
      </w:r>
      <w:r>
        <w:rPr>
          <w:rFonts w:hint="eastAsia" w:ascii="仿宋_GB2312" w:hAnsi="方正小标宋简体" w:eastAsia="仿宋_GB2312"/>
          <w:sz w:val="32"/>
          <w:szCs w:val="32"/>
        </w:rPr>
        <w:t>推动建设“智享健康应用场景”，打造集场景沉浸式体验、科创成果展览展示、优质企业孵化培育、前沿技术落地转化、全域产业资源对接、终端场景营销赋能于一体的全链条一站式专业化科创载体，打通产业服务与市场落地最后一公里。</w:t>
      </w:r>
      <w:r>
        <w:rPr>
          <w:rFonts w:hint="eastAsia" w:ascii="楷体_GB2312" w:hAnsi="方正小标宋简体" w:eastAsia="楷体_GB2312"/>
          <w:sz w:val="32"/>
          <w:szCs w:val="32"/>
        </w:rPr>
        <w:t>（责任单位：区卫健委、昌发展公司）</w:t>
      </w:r>
    </w:p>
    <w:p w14:paraId="306B893E">
      <w:pPr>
        <w:tabs>
          <w:tab w:val="left" w:pos="5460"/>
        </w:tabs>
        <w:spacing w:after="0" w:line="560" w:lineRule="exact"/>
        <w:ind w:firstLine="643" w:firstLineChars="200"/>
        <w:rPr>
          <w:rFonts w:hint="eastAsia" w:ascii="楷体_GB2312" w:hAnsi="方正小标宋简体" w:eastAsia="楷体_GB2312"/>
          <w:sz w:val="32"/>
          <w:szCs w:val="32"/>
        </w:rPr>
      </w:pPr>
      <w:r>
        <w:rPr>
          <w:rFonts w:ascii="仿宋_GB2312" w:hAnsi="方正小标宋简体" w:eastAsia="仿宋_GB2312"/>
          <w:b/>
          <w:bCs/>
          <w:sz w:val="32"/>
          <w:szCs w:val="32"/>
        </w:rPr>
        <w:t>4.</w:t>
      </w:r>
      <w:r>
        <w:rPr>
          <w:rFonts w:hint="eastAsia" w:ascii="仿宋_GB2312" w:hAnsi="方正小标宋简体" w:eastAsia="仿宋_GB2312"/>
          <w:b/>
          <w:bCs/>
          <w:sz w:val="32"/>
          <w:szCs w:val="32"/>
        </w:rPr>
        <w:t>养老服务方面，</w:t>
      </w:r>
      <w:r>
        <w:rPr>
          <w:rFonts w:hint="eastAsia" w:ascii="仿宋_GB2312" w:hAnsi="方正小标宋简体" w:eastAsia="仿宋_GB2312"/>
          <w:sz w:val="32"/>
          <w:szCs w:val="32"/>
        </w:rPr>
        <w:t>鼓励区属养老机构、康复医院、康养社区在专业服务场景中推广智能监护设备、</w:t>
      </w:r>
      <w:r>
        <w:rPr>
          <w:rFonts w:ascii="仿宋_GB2312" w:hAnsi="方正小标宋简体" w:eastAsia="仿宋_GB2312"/>
          <w:sz w:val="32"/>
          <w:szCs w:val="32"/>
        </w:rPr>
        <w:t>AI语音陪伴机器人、康复机器人、VR认知训练系统、远程医疗会诊平台等应用</w:t>
      </w:r>
      <w:r>
        <w:rPr>
          <w:rFonts w:hint="eastAsia" w:ascii="仿宋_GB2312" w:hAnsi="方正小标宋简体" w:eastAsia="仿宋_GB2312"/>
          <w:sz w:val="32"/>
          <w:szCs w:val="32"/>
        </w:rPr>
        <w:t>，推动银发经济高质量发展</w:t>
      </w:r>
      <w:r>
        <w:rPr>
          <w:rFonts w:ascii="仿宋_GB2312" w:hAnsi="方正小标宋简体" w:eastAsia="仿宋_GB2312"/>
          <w:sz w:val="32"/>
          <w:szCs w:val="32"/>
        </w:rPr>
        <w:t>。</w:t>
      </w:r>
      <w:r>
        <w:rPr>
          <w:rFonts w:hint="eastAsia" w:ascii="楷体_GB2312" w:hAnsi="方正小标宋简体" w:eastAsia="楷体_GB2312"/>
          <w:sz w:val="32"/>
          <w:szCs w:val="32"/>
        </w:rPr>
        <w:t>（责任单位：区民政局）</w:t>
      </w:r>
    </w:p>
    <w:p w14:paraId="08B05D8E">
      <w:pPr>
        <w:tabs>
          <w:tab w:val="left" w:pos="5460"/>
        </w:tabs>
        <w:spacing w:after="0" w:line="560" w:lineRule="exact"/>
        <w:ind w:firstLine="643" w:firstLineChars="200"/>
        <w:rPr>
          <w:rFonts w:hint="eastAsia" w:ascii="楷体_GB2312" w:hAnsi="方正小标宋简体" w:eastAsia="楷体_GB2312"/>
          <w:sz w:val="32"/>
          <w:szCs w:val="32"/>
        </w:rPr>
      </w:pPr>
      <w:r>
        <w:rPr>
          <w:rFonts w:ascii="仿宋_GB2312" w:hAnsi="方正小标宋简体" w:eastAsia="仿宋_GB2312"/>
          <w:b/>
          <w:bCs/>
          <w:sz w:val="32"/>
          <w:szCs w:val="32"/>
        </w:rPr>
        <w:t>5.</w:t>
      </w:r>
      <w:r>
        <w:rPr>
          <w:rFonts w:hint="eastAsia" w:ascii="仿宋_GB2312" w:hAnsi="方正小标宋简体" w:eastAsia="仿宋_GB2312"/>
          <w:b/>
          <w:bCs/>
          <w:sz w:val="32"/>
          <w:szCs w:val="32"/>
        </w:rPr>
        <w:t>托育服务方面，</w:t>
      </w:r>
      <w:r>
        <w:rPr>
          <w:rFonts w:hint="eastAsia" w:ascii="仿宋_GB2312" w:hAnsi="方正小标宋简体" w:eastAsia="仿宋_GB2312"/>
          <w:sz w:val="32"/>
          <w:szCs w:val="32"/>
        </w:rPr>
        <w:t>打造智慧托育示范项目，运用多模态交互人形机器人、智能睡眠监测设备，搭建一体化数字管理平台，实现智能晨检、幼儿陪护、生命体征实时监测与风险快速预警，</w:t>
      </w:r>
      <w:r>
        <w:rPr>
          <w:rFonts w:ascii="仿宋_GB2312" w:hAnsi="方正小标宋简体" w:eastAsia="仿宋_GB2312"/>
          <w:sz w:val="32"/>
          <w:szCs w:val="32"/>
        </w:rPr>
        <w:t>打造首都普惠托育数字化民生标杆。</w:t>
      </w:r>
      <w:r>
        <w:rPr>
          <w:rFonts w:hint="eastAsia" w:ascii="楷体_GB2312" w:hAnsi="方正小标宋简体" w:eastAsia="楷体_GB2312"/>
          <w:sz w:val="32"/>
          <w:szCs w:val="32"/>
        </w:rPr>
        <w:t>（责任单位：区教委、区卫健委）</w:t>
      </w:r>
    </w:p>
    <w:p w14:paraId="20827D02">
      <w:pPr>
        <w:numPr>
          <w:ilvl w:val="255"/>
          <w:numId w:val="0"/>
        </w:numPr>
        <w:tabs>
          <w:tab w:val="left" w:pos="5460"/>
        </w:tabs>
        <w:spacing w:after="0" w:line="560" w:lineRule="exact"/>
        <w:ind w:firstLine="643" w:firstLineChars="200"/>
        <w:rPr>
          <w:rFonts w:hint="eastAsia" w:ascii="楷体_GB2312" w:hAnsi="方正小标宋简体" w:eastAsia="楷体_GB2312"/>
          <w:sz w:val="32"/>
          <w:szCs w:val="32"/>
        </w:rPr>
      </w:pPr>
      <w:r>
        <w:rPr>
          <w:rFonts w:hint="eastAsia" w:ascii="仿宋_GB2312" w:hAnsi="方正小标宋简体" w:eastAsia="仿宋_GB2312"/>
          <w:b/>
          <w:bCs/>
          <w:sz w:val="32"/>
          <w:szCs w:val="32"/>
        </w:rPr>
        <w:t>6.应急安全方面，</w:t>
      </w:r>
      <w:r>
        <w:rPr>
          <w:rFonts w:hint="eastAsia" w:ascii="仿宋_GB2312" w:hAnsi="方正小标宋简体" w:eastAsia="仿宋_GB2312"/>
          <w:sz w:val="32"/>
          <w:szCs w:val="32"/>
        </w:rPr>
        <w:t>推动重点行业、重点单位、重点区域的风险监测场景开放，面向央国企、市场主体、科技企业，开放城市存量空间、公共设施、产业载体，推动平急两用应用场景开放。强化韧性城市建设，统筹发展和安全，推动城市空间资源逐步开放。</w:t>
      </w:r>
      <w:r>
        <w:rPr>
          <w:rFonts w:ascii="仿宋_GB2312" w:hAnsi="方正小标宋简体" w:eastAsia="仿宋_GB2312"/>
          <w:sz w:val="32"/>
          <w:szCs w:val="32"/>
        </w:rPr>
        <w:t>部署安全风险监测预警平台，构建面向重点场</w:t>
      </w:r>
      <w:r>
        <w:rPr>
          <w:rFonts w:hint="eastAsia" w:ascii="仿宋_GB2312" w:hAnsi="方正小标宋简体" w:eastAsia="仿宋_GB2312"/>
          <w:sz w:val="32"/>
          <w:szCs w:val="32"/>
        </w:rPr>
        <w:t>所的安全风险预警与靶向信息送达机制，实现农村区域基础设施全天候全地形移动追踪监测。</w:t>
      </w:r>
      <w:r>
        <w:rPr>
          <w:rFonts w:hint="eastAsia" w:ascii="楷体_GB2312" w:hAnsi="方正小标宋简体" w:eastAsia="楷体_GB2312"/>
          <w:sz w:val="32"/>
          <w:szCs w:val="32"/>
        </w:rPr>
        <w:t>（责任单位：区应急局）</w:t>
      </w:r>
    </w:p>
    <w:p w14:paraId="2F5BFAB1">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楷体_GB2312" w:hAnsi="方正小标宋简体" w:eastAsia="楷体_GB2312"/>
          <w:sz w:val="32"/>
          <w:szCs w:val="32"/>
        </w:rPr>
        <w:t>（三）塑造城市活力新场景</w:t>
      </w:r>
    </w:p>
    <w:p w14:paraId="0C9549D8">
      <w:pPr>
        <w:tabs>
          <w:tab w:val="left" w:pos="5460"/>
        </w:tabs>
        <w:spacing w:after="0" w:line="560" w:lineRule="exact"/>
        <w:ind w:firstLine="640" w:firstLineChars="200"/>
        <w:rPr>
          <w:rFonts w:hint="eastAsia" w:ascii="仿宋_GB2312" w:hAnsi="方正小标宋简体" w:eastAsia="仿宋_GB2312"/>
          <w:sz w:val="32"/>
          <w:szCs w:val="32"/>
        </w:rPr>
      </w:pPr>
      <w:bookmarkStart w:id="0" w:name="OLE_LINK3"/>
      <w:r>
        <w:rPr>
          <w:rFonts w:hint="eastAsia" w:ascii="仿宋_GB2312" w:hAnsi="方正小标宋简体" w:eastAsia="仿宋_GB2312"/>
          <w:sz w:val="32"/>
          <w:szCs w:val="32"/>
          <w:highlight w:val="none"/>
        </w:rPr>
        <w:t>围绕花园城市建设、城市更新行动、</w:t>
      </w:r>
      <w:r>
        <w:rPr>
          <w:rFonts w:hint="eastAsia" w:ascii="仿宋_GB2312" w:hAnsi="方正小标宋简体" w:eastAsia="仿宋_GB2312"/>
          <w:sz w:val="32"/>
          <w:szCs w:val="32"/>
        </w:rPr>
        <w:t>文旅农商体</w:t>
      </w:r>
      <w:r>
        <w:rPr>
          <w:rFonts w:hint="eastAsia" w:ascii="仿宋_GB2312" w:hAnsi="方正小标宋简体" w:eastAsia="仿宋_GB2312"/>
          <w:sz w:val="32"/>
          <w:szCs w:val="32"/>
          <w:highlight w:val="none"/>
        </w:rPr>
        <w:t>融合发展</w:t>
      </w:r>
      <w:r>
        <w:rPr>
          <w:rFonts w:hint="eastAsia" w:ascii="仿宋_GB2312" w:hAnsi="方正小标宋简体" w:eastAsia="仿宋_GB2312"/>
          <w:sz w:val="32"/>
          <w:szCs w:val="32"/>
        </w:rPr>
        <w:t>等</w:t>
      </w:r>
      <w:r>
        <w:rPr>
          <w:rFonts w:hint="eastAsia" w:ascii="仿宋_GB2312" w:hAnsi="方正小标宋简体" w:eastAsia="仿宋_GB2312"/>
          <w:sz w:val="32"/>
          <w:szCs w:val="32"/>
          <w:highlight w:val="none"/>
        </w:rPr>
        <w:t>维度，支持各类市场主体运用人工智能等新兴技术，开展产品研发、模式创新和场景试点，分类推进</w:t>
      </w:r>
      <w:r>
        <w:rPr>
          <w:rFonts w:hint="eastAsia" w:ascii="仿宋_GB2312" w:hAnsi="方正小标宋简体" w:eastAsia="仿宋_GB2312"/>
          <w:sz w:val="32"/>
          <w:szCs w:val="32"/>
        </w:rPr>
        <w:t>建设一批标杆场景，</w:t>
      </w:r>
      <w:r>
        <w:rPr>
          <w:rFonts w:hint="eastAsia" w:ascii="仿宋_GB2312" w:hAnsi="方正小标宋简体" w:eastAsia="仿宋_GB2312"/>
          <w:sz w:val="32"/>
          <w:szCs w:val="32"/>
          <w:highlight w:val="none"/>
        </w:rPr>
        <w:t>促进生态提质、民生改善、消费融合</w:t>
      </w:r>
      <w:r>
        <w:rPr>
          <w:rFonts w:hint="eastAsia" w:ascii="仿宋_GB2312" w:hAnsi="方正小标宋简体" w:eastAsia="仿宋_GB2312"/>
          <w:sz w:val="32"/>
          <w:szCs w:val="32"/>
        </w:rPr>
        <w:t>。</w:t>
      </w:r>
    </w:p>
    <w:bookmarkEnd w:id="0"/>
    <w:p w14:paraId="27462395">
      <w:pPr>
        <w:tabs>
          <w:tab w:val="left" w:pos="5460"/>
        </w:tabs>
        <w:spacing w:after="0" w:line="560" w:lineRule="exact"/>
        <w:ind w:firstLine="643" w:firstLineChars="200"/>
        <w:rPr>
          <w:rFonts w:hint="eastAsia" w:ascii="楷体_GB2312" w:hAnsi="方正小标宋简体" w:eastAsia="楷体_GB2312"/>
          <w:b w:val="0"/>
          <w:bCs w:val="0"/>
          <w:sz w:val="32"/>
          <w:szCs w:val="32"/>
        </w:rPr>
      </w:pPr>
      <w:bookmarkStart w:id="1" w:name="OLE_LINK2"/>
      <w:r>
        <w:rPr>
          <w:rFonts w:hint="eastAsia" w:ascii="仿宋_GB2312" w:hAnsi="方正小标宋简体" w:eastAsia="仿宋_GB2312"/>
          <w:b/>
          <w:bCs/>
          <w:sz w:val="32"/>
          <w:szCs w:val="32"/>
        </w:rPr>
        <w:t>1</w:t>
      </w:r>
      <w:r>
        <w:rPr>
          <w:rFonts w:ascii="仿宋_GB2312" w:hAnsi="方正小标宋简体" w:eastAsia="仿宋_GB2312"/>
          <w:b/>
          <w:bCs/>
          <w:sz w:val="32"/>
          <w:szCs w:val="32"/>
        </w:rPr>
        <w:t>.</w:t>
      </w:r>
      <w:r>
        <w:rPr>
          <w:rFonts w:hint="eastAsia" w:ascii="仿宋_GB2312" w:hAnsi="方正小标宋简体" w:eastAsia="仿宋_GB2312"/>
          <w:b/>
          <w:bCs/>
          <w:sz w:val="32"/>
          <w:szCs w:val="32"/>
        </w:rPr>
        <w:t>文博旅方面，</w:t>
      </w:r>
      <w:r>
        <w:rPr>
          <w:rFonts w:hint="eastAsia" w:ascii="仿宋_GB2312" w:hAnsi="方正小标宋简体" w:eastAsia="仿宋_GB2312"/>
          <w:b w:val="0"/>
          <w:bCs w:val="0"/>
          <w:sz w:val="32"/>
          <w:szCs w:val="32"/>
        </w:rPr>
        <w:t>依托明文化、长城文化及山水乡村特色资源，深度推进文博旅数字化赋能与业态场景升级。聚焦文物资源，利用数字技术赋能智慧游览、文物再现、日常巡查等，丰富沉浸式文旅体验，推动文物资源多元活化利用，构建共建共享的文博数字生态。系统培育智慧文旅、郊野微度假、文化研学等新兴业态场景，持续做强明文化论坛、千帆音乐季等特色品牌活动，加快构建“音乐节+音乐公园+AIGC产业园”联动产业生态，持续挖掘旅游新业态、新场景需求，全力打造京津冀文化新高地、文旅消费新地标及京北休闲旅游样板，推动区域全域旅游品质整体提质升级。</w:t>
      </w:r>
      <w:r>
        <w:rPr>
          <w:rFonts w:hint="eastAsia" w:ascii="楷体_GB2312" w:hAnsi="方正小标宋简体" w:eastAsia="楷体_GB2312"/>
          <w:b w:val="0"/>
          <w:bCs w:val="0"/>
          <w:sz w:val="32"/>
          <w:szCs w:val="32"/>
        </w:rPr>
        <w:t>（责任单位：区文旅局）</w:t>
      </w:r>
    </w:p>
    <w:bookmarkEnd w:id="1"/>
    <w:p w14:paraId="21B527B4">
      <w:pPr>
        <w:tabs>
          <w:tab w:val="left" w:pos="5460"/>
        </w:tabs>
        <w:spacing w:after="0" w:line="560" w:lineRule="exact"/>
        <w:ind w:firstLine="643" w:firstLineChars="200"/>
        <w:rPr>
          <w:rFonts w:hint="eastAsia" w:ascii="仿宋_GB2312" w:hAnsi="方正小标宋简体" w:eastAsia="仿宋_GB2312"/>
          <w:b/>
          <w:bCs/>
          <w:sz w:val="32"/>
          <w:szCs w:val="32"/>
        </w:rPr>
      </w:pPr>
      <w:r>
        <w:rPr>
          <w:rFonts w:hint="eastAsia" w:ascii="仿宋_GB2312" w:hAnsi="方正小标宋简体" w:eastAsia="仿宋_GB2312"/>
          <w:b/>
          <w:bCs/>
          <w:sz w:val="32"/>
          <w:szCs w:val="32"/>
        </w:rPr>
        <w:t>2</w:t>
      </w:r>
      <w:r>
        <w:rPr>
          <w:rFonts w:ascii="仿宋_GB2312" w:hAnsi="方正小标宋简体" w:eastAsia="仿宋_GB2312"/>
          <w:b/>
          <w:bCs/>
          <w:sz w:val="32"/>
          <w:szCs w:val="32"/>
        </w:rPr>
        <w:t>.</w:t>
      </w:r>
      <w:r>
        <w:rPr>
          <w:rFonts w:hint="eastAsia" w:ascii="仿宋_GB2312" w:hAnsi="方正小标宋简体" w:eastAsia="仿宋_GB2312"/>
          <w:b/>
          <w:bCs/>
          <w:sz w:val="32"/>
          <w:szCs w:val="32"/>
        </w:rPr>
        <w:t>商业方面，</w:t>
      </w:r>
      <w:r>
        <w:rPr>
          <w:rFonts w:hint="eastAsia" w:ascii="仿宋_GB2312" w:hAnsi="方正小标宋简体" w:eastAsia="仿宋_GB2312"/>
          <w:sz w:val="32"/>
          <w:szCs w:val="32"/>
        </w:rPr>
        <w:t>立足区域商业发展布局，聚焦重点商圈、便民商业、特色街区资源，培育智慧商圈、夜间经济、社区便民、特色商业街区等创新场景，支持运营主体牵头推进业态升级，挖掘新零售、沉浸式消费等需求，加强商户活动场景融合联动，打造多元融合消费场景，持续激活消费市场活力。</w:t>
      </w:r>
      <w:r>
        <w:rPr>
          <w:rFonts w:hint="eastAsia" w:ascii="楷体_GB2312" w:hAnsi="方正小标宋简体" w:eastAsia="楷体_GB2312"/>
          <w:sz w:val="32"/>
          <w:szCs w:val="32"/>
        </w:rPr>
        <w:t>（责任单位：区商务局）</w:t>
      </w:r>
    </w:p>
    <w:p w14:paraId="384E8CBC">
      <w:pPr>
        <w:tabs>
          <w:tab w:val="left" w:pos="5460"/>
        </w:tabs>
        <w:spacing w:after="0" w:line="560" w:lineRule="exact"/>
        <w:ind w:firstLine="643" w:firstLineChars="200"/>
        <w:rPr>
          <w:rFonts w:hint="eastAsia" w:ascii="楷体_GB2312" w:hAnsi="方正小标宋简体" w:eastAsia="楷体_GB2312"/>
          <w:sz w:val="32"/>
          <w:szCs w:val="32"/>
        </w:rPr>
      </w:pPr>
      <w:r>
        <w:rPr>
          <w:rFonts w:hint="eastAsia" w:ascii="仿宋_GB2312" w:hAnsi="方正小标宋简体" w:eastAsia="仿宋_GB2312"/>
          <w:b/>
          <w:bCs/>
          <w:sz w:val="32"/>
          <w:szCs w:val="32"/>
        </w:rPr>
        <w:t>3.体育方面，</w:t>
      </w:r>
      <w:r>
        <w:rPr>
          <w:rFonts w:hint="eastAsia" w:ascii="仿宋_GB2312" w:hAnsi="方正小标宋简体" w:eastAsia="仿宋_GB2312"/>
          <w:sz w:val="32"/>
          <w:szCs w:val="32"/>
        </w:rPr>
        <w:t>用好铁人三项赛、自行车挑战赛等品牌赛事资源，推动体育场地设施数字化改造，培育“体育赛事+消费”创新场景，促进人工智能、数字技术与全民健身、体育消费深度融合，持续丰富体育消费新业态。</w:t>
      </w:r>
      <w:r>
        <w:rPr>
          <w:rFonts w:hint="eastAsia" w:ascii="楷体_GB2312" w:hAnsi="方正小标宋简体" w:eastAsia="楷体_GB2312"/>
          <w:sz w:val="32"/>
          <w:szCs w:val="32"/>
        </w:rPr>
        <w:t>（责任单位：区体育局）</w:t>
      </w:r>
    </w:p>
    <w:p w14:paraId="5A96609F">
      <w:pPr>
        <w:tabs>
          <w:tab w:val="left" w:pos="5460"/>
        </w:tabs>
        <w:spacing w:after="0" w:line="560" w:lineRule="exact"/>
        <w:ind w:firstLine="643" w:firstLineChars="200"/>
        <w:rPr>
          <w:rFonts w:hint="eastAsia" w:ascii="楷体_GB2312" w:hAnsi="方正小标宋简体" w:eastAsia="楷体_GB2312"/>
          <w:sz w:val="32"/>
          <w:szCs w:val="32"/>
        </w:rPr>
      </w:pPr>
      <w:r>
        <w:rPr>
          <w:rFonts w:hint="eastAsia" w:ascii="仿宋_GB2312" w:hAnsi="方正小标宋简体" w:eastAsia="仿宋_GB2312"/>
          <w:b/>
          <w:bCs/>
          <w:sz w:val="32"/>
          <w:szCs w:val="32"/>
        </w:rPr>
        <w:t>4</w:t>
      </w:r>
      <w:r>
        <w:rPr>
          <w:rFonts w:ascii="仿宋_GB2312" w:hAnsi="方正小标宋简体" w:eastAsia="仿宋_GB2312"/>
          <w:b/>
          <w:bCs/>
          <w:sz w:val="32"/>
          <w:szCs w:val="32"/>
        </w:rPr>
        <w:t>.</w:t>
      </w:r>
      <w:r>
        <w:rPr>
          <w:rFonts w:hint="eastAsia" w:ascii="仿宋_GB2312" w:hAnsi="方正小标宋简体" w:eastAsia="仿宋_GB2312"/>
          <w:b/>
          <w:bCs/>
          <w:sz w:val="32"/>
          <w:szCs w:val="32"/>
        </w:rPr>
        <w:t>农业方面，</w:t>
      </w:r>
      <w:r>
        <w:rPr>
          <w:rFonts w:hint="eastAsia" w:ascii="仿宋_GB2312" w:hAnsi="方正小标宋简体" w:eastAsia="仿宋_GB2312"/>
          <w:sz w:val="32"/>
          <w:szCs w:val="32"/>
        </w:rPr>
        <w:t>围绕现代农业提质增效，培育智慧种植、农产品产销、农事体验等场景。依托设施农业、休闲农业资源，推动物联网、数字技术融入农事生产、农产品品牌运营。引导农业经营主体开放田间试验、田园示范场景，挖掘农业数字化转型需求，促进新技术落地试点，拓展农耕体验、采摘观光新业态，助力现代农业高质量发展。</w:t>
      </w:r>
      <w:r>
        <w:rPr>
          <w:rFonts w:hint="eastAsia" w:ascii="楷体_GB2312" w:hAnsi="方正小标宋简体" w:eastAsia="楷体_GB2312"/>
          <w:sz w:val="32"/>
          <w:szCs w:val="32"/>
        </w:rPr>
        <w:t>（责任单位：区农业农村局）</w:t>
      </w:r>
    </w:p>
    <w:p w14:paraId="06AF0EF4">
      <w:pPr>
        <w:tabs>
          <w:tab w:val="left" w:pos="5460"/>
        </w:tabs>
        <w:spacing w:after="0" w:line="560" w:lineRule="exact"/>
        <w:ind w:firstLine="643" w:firstLineChars="200"/>
        <w:rPr>
          <w:rFonts w:hint="eastAsia" w:ascii="楷体_GB2312" w:hAnsi="方正小标宋简体" w:eastAsia="楷体_GB2312"/>
          <w:sz w:val="32"/>
          <w:szCs w:val="32"/>
        </w:rPr>
      </w:pPr>
      <w:r>
        <w:rPr>
          <w:rFonts w:hint="eastAsia" w:ascii="仿宋_GB2312" w:hAnsi="方正小标宋简体" w:eastAsia="仿宋_GB2312"/>
          <w:b/>
          <w:bCs/>
          <w:sz w:val="32"/>
          <w:szCs w:val="32"/>
        </w:rPr>
        <w:t>5.花园城市方面，</w:t>
      </w:r>
      <w:r>
        <w:rPr>
          <w:rFonts w:hint="eastAsia" w:ascii="仿宋_GB2312" w:hAnsi="方正小标宋简体" w:eastAsia="仿宋_GB2312"/>
          <w:sz w:val="32"/>
          <w:szCs w:val="32"/>
        </w:rPr>
        <w:t>充分挖掘街角边角地、滨水沿线、园区附属绿地等资源，打造口袋公园、微花园、雨水花园等开放节点，推进拆栏透绿，提升绿地可进入性与共享水平。围绕休闲游憩、科普宣教、户外社交、文体活动等方向，植入全龄友好配套设施，拓展生态体验、文化展示、小型市集等多元场景，实现推窗见绿、出门入园，持续提升城市宜居品质。</w:t>
      </w:r>
      <w:r>
        <w:rPr>
          <w:rFonts w:hint="eastAsia" w:ascii="楷体_GB2312" w:hAnsi="方正小标宋简体" w:eastAsia="楷体_GB2312"/>
          <w:sz w:val="32"/>
          <w:szCs w:val="32"/>
        </w:rPr>
        <w:t xml:space="preserve">（责任单位：区园林绿化局、区水务局、区文旅局、区体育局、区商务局、区市场监管局） </w:t>
      </w:r>
    </w:p>
    <w:p w14:paraId="6B259159">
      <w:pPr>
        <w:tabs>
          <w:tab w:val="left" w:pos="5460"/>
        </w:tabs>
        <w:spacing w:after="0" w:line="560" w:lineRule="exact"/>
        <w:ind w:firstLine="643" w:firstLineChars="200"/>
      </w:pPr>
      <w:r>
        <w:rPr>
          <w:rFonts w:hint="eastAsia" w:ascii="仿宋_GB2312" w:hAnsi="方正小标宋简体" w:eastAsia="仿宋_GB2312"/>
          <w:b/>
          <w:bCs/>
          <w:sz w:val="32"/>
          <w:szCs w:val="32"/>
        </w:rPr>
        <w:t>6.城市更新方面，</w:t>
      </w:r>
      <w:r>
        <w:rPr>
          <w:rFonts w:ascii="仿宋_GB2312" w:hAnsi="方正小标宋简体" w:eastAsia="仿宋_GB2312"/>
          <w:sz w:val="32"/>
          <w:szCs w:val="32"/>
        </w:rPr>
        <w:t>依托老旧小区改造、公共空间更新，推广应用无障碍智能导航、防跌倒公共设施、一键呼叫系统、智慧电梯与单元门禁等应用，</w:t>
      </w:r>
      <w:r>
        <w:rPr>
          <w:rFonts w:hint="eastAsia" w:ascii="仿宋_GB2312" w:hAnsi="方正小标宋简体" w:eastAsia="仿宋_GB2312"/>
          <w:sz w:val="32"/>
          <w:szCs w:val="32"/>
        </w:rPr>
        <w:t>面向居民打造可感知的</w:t>
      </w:r>
      <w:r>
        <w:rPr>
          <w:rFonts w:ascii="仿宋_GB2312" w:hAnsi="方正小标宋简体" w:eastAsia="仿宋_GB2312"/>
          <w:sz w:val="32"/>
          <w:szCs w:val="32"/>
        </w:rPr>
        <w:t>适老化</w:t>
      </w:r>
      <w:r>
        <w:rPr>
          <w:rFonts w:hint="eastAsia" w:ascii="仿宋_GB2312" w:hAnsi="方正小标宋简体" w:eastAsia="仿宋_GB2312"/>
          <w:sz w:val="32"/>
          <w:szCs w:val="32"/>
        </w:rPr>
        <w:t>场景样板示范</w:t>
      </w:r>
      <w:r>
        <w:rPr>
          <w:rFonts w:ascii="仿宋_GB2312" w:hAnsi="方正小标宋简体" w:eastAsia="仿宋_GB2312"/>
          <w:sz w:val="32"/>
          <w:szCs w:val="32"/>
        </w:rPr>
        <w:t>。</w:t>
      </w:r>
      <w:r>
        <w:rPr>
          <w:rFonts w:hint="eastAsia" w:ascii="楷体_GB2312" w:hAnsi="方正小标宋简体" w:eastAsia="楷体_GB2312"/>
          <w:sz w:val="32"/>
          <w:szCs w:val="32"/>
        </w:rPr>
        <w:t>（责任单位：区住建委）</w:t>
      </w:r>
    </w:p>
    <w:p w14:paraId="53AFF553">
      <w:pPr>
        <w:tabs>
          <w:tab w:val="left" w:pos="5460"/>
        </w:tabs>
        <w:spacing w:after="0" w:line="560" w:lineRule="exact"/>
        <w:ind w:firstLine="640" w:firstLineChars="200"/>
        <w:rPr>
          <w:rFonts w:hint="eastAsia" w:ascii="黑体" w:hAnsi="黑体" w:eastAsia="黑体"/>
          <w:sz w:val="32"/>
          <w:szCs w:val="32"/>
        </w:rPr>
      </w:pPr>
      <w:bookmarkStart w:id="2" w:name="OLE_LINK1"/>
      <w:r>
        <w:rPr>
          <w:rFonts w:hint="eastAsia" w:ascii="黑体" w:hAnsi="黑体" w:eastAsia="黑体"/>
          <w:sz w:val="32"/>
          <w:szCs w:val="32"/>
        </w:rPr>
        <w:t>三、发挥多元主体优势</w:t>
      </w:r>
    </w:p>
    <w:p w14:paraId="20090CFE">
      <w:pPr>
        <w:tabs>
          <w:tab w:val="left" w:pos="5460"/>
        </w:tabs>
        <w:spacing w:after="0" w:line="560" w:lineRule="exact"/>
        <w:ind w:firstLine="640" w:firstLineChars="200"/>
        <w:rPr>
          <w:rFonts w:hint="eastAsia" w:ascii="仿宋_GB2312" w:hAnsi="方正小标宋简体" w:eastAsia="仿宋_GB2312"/>
          <w:sz w:val="32"/>
          <w:szCs w:val="32"/>
        </w:rPr>
      </w:pPr>
      <w:r>
        <w:rPr>
          <w:rFonts w:hint="eastAsia" w:ascii="仿宋_GB2312" w:hAnsi="方正小标宋简体" w:eastAsia="仿宋_GB2312"/>
          <w:sz w:val="32"/>
          <w:szCs w:val="32"/>
        </w:rPr>
        <w:t>强化发挥各类主体作用，引导高校、科研机构、央国企、链主企业、行业协会等开放场景资源，扩大场景源头供给，强化场景开放协同共享。</w:t>
      </w:r>
    </w:p>
    <w:p w14:paraId="248DEC85">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楷体_GB2312" w:hAnsi="方正小标宋简体" w:eastAsia="楷体_GB2312"/>
          <w:sz w:val="32"/>
          <w:szCs w:val="32"/>
        </w:rPr>
        <w:t>（一）激发高校前沿科创技术场景</w:t>
      </w:r>
    </w:p>
    <w:p w14:paraId="1689B569">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仿宋_GB2312" w:hAnsi="方正小标宋简体" w:eastAsia="仿宋_GB2312"/>
          <w:sz w:val="32"/>
          <w:szCs w:val="32"/>
        </w:rPr>
        <w:t>持续深化“一校一策”校城融合机制，激发高校创新动能，支持驻昌高校自主发掘场景机会、提出场景方案、推动场景落地，支持高校院所围绕区域产业发展需求开展场景技术研发，强化产业创新中心、技术转移中心等载体建设，鼓励高校的大学科技园、全国重点实验室、大科学装置、孵化器等多元场景向企业开放。</w:t>
      </w:r>
      <w:r>
        <w:rPr>
          <w:rFonts w:hint="eastAsia" w:ascii="楷体_GB2312" w:hAnsi="方正小标宋简体" w:eastAsia="楷体_GB2312"/>
          <w:sz w:val="32"/>
          <w:szCs w:val="32"/>
        </w:rPr>
        <w:t>（责任单位：校城融合处、区科委）</w:t>
      </w:r>
    </w:p>
    <w:p w14:paraId="16DC239D">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楷体_GB2312" w:hAnsi="方正小标宋简体" w:eastAsia="楷体_GB2312"/>
          <w:sz w:val="32"/>
          <w:szCs w:val="32"/>
        </w:rPr>
        <w:t>（二）释放科研机构成果转化场景</w:t>
      </w:r>
    </w:p>
    <w:p w14:paraId="33D352BE">
      <w:pPr>
        <w:tabs>
          <w:tab w:val="left" w:pos="5460"/>
        </w:tabs>
        <w:spacing w:after="0" w:line="560" w:lineRule="exact"/>
        <w:ind w:firstLine="640" w:firstLineChars="200"/>
        <w:rPr>
          <w:rFonts w:hint="eastAsia" w:ascii="仿宋_GB2312" w:hAnsi="方正小标宋简体" w:eastAsia="仿宋_GB2312"/>
          <w:sz w:val="32"/>
          <w:szCs w:val="32"/>
        </w:rPr>
      </w:pPr>
      <w:r>
        <w:rPr>
          <w:rFonts w:hint="eastAsia" w:ascii="仿宋_GB2312" w:hAnsi="方正小标宋简体" w:eastAsia="仿宋_GB2312" w:cstheme="minorBidi"/>
          <w:sz w:val="32"/>
          <w:szCs w:val="32"/>
        </w:rPr>
        <w:t>发挥昌平国家实验室、北生所</w:t>
      </w:r>
      <w:r>
        <w:rPr>
          <w:rFonts w:hint="eastAsia" w:ascii="仿宋_GB2312" w:hAnsi="方正小标宋简体" w:eastAsia="仿宋_GB2312"/>
          <w:sz w:val="32"/>
          <w:szCs w:val="32"/>
        </w:rPr>
        <w:t>、北脑</w:t>
      </w:r>
      <w:r>
        <w:rPr>
          <w:rFonts w:ascii="仿宋_GB2312" w:hAnsi="方正小标宋简体" w:eastAsia="仿宋_GB2312"/>
          <w:sz w:val="32"/>
          <w:szCs w:val="32"/>
        </w:rPr>
        <w:t>所</w:t>
      </w:r>
      <w:r>
        <w:rPr>
          <w:rFonts w:hint="eastAsia" w:ascii="仿宋_GB2312" w:hAnsi="方正小标宋简体" w:eastAsia="仿宋_GB2312" w:cstheme="minorBidi"/>
          <w:sz w:val="32"/>
          <w:szCs w:val="32"/>
        </w:rPr>
        <w:t>等</w:t>
      </w:r>
      <w:r>
        <w:rPr>
          <w:rFonts w:ascii="仿宋_GB2312" w:hAnsi="方正小标宋简体" w:eastAsia="仿宋_GB2312"/>
          <w:sz w:val="32"/>
          <w:szCs w:val="32"/>
        </w:rPr>
        <w:t>国家战略科技力量</w:t>
      </w:r>
      <w:r>
        <w:rPr>
          <w:rFonts w:hint="eastAsia" w:ascii="仿宋_GB2312" w:hAnsi="方正小标宋简体" w:eastAsia="仿宋_GB2312"/>
          <w:sz w:val="32"/>
          <w:szCs w:val="32"/>
        </w:rPr>
        <w:t>集聚优势，</w:t>
      </w:r>
      <w:r>
        <w:rPr>
          <w:rFonts w:ascii="仿宋_GB2312" w:hAnsi="方正小标宋简体" w:eastAsia="仿宋_GB2312"/>
          <w:sz w:val="32"/>
          <w:szCs w:val="32"/>
        </w:rPr>
        <w:t>支持科研机构参与人工智能、</w:t>
      </w:r>
      <w:r>
        <w:rPr>
          <w:rFonts w:hint="eastAsia" w:ascii="仿宋_GB2312" w:hAnsi="方正小标宋简体" w:eastAsia="仿宋_GB2312"/>
          <w:sz w:val="32"/>
          <w:szCs w:val="32"/>
        </w:rPr>
        <w:t>脑科学与脑机接口、合成生物、</w:t>
      </w:r>
      <w:r>
        <w:rPr>
          <w:rFonts w:ascii="仿宋_GB2312" w:hAnsi="方正小标宋简体" w:eastAsia="仿宋_GB2312"/>
          <w:sz w:val="32"/>
          <w:szCs w:val="32"/>
        </w:rPr>
        <w:t>6G、量子等前沿领域关键技术研发，</w:t>
      </w:r>
      <w:r>
        <w:rPr>
          <w:rFonts w:hint="eastAsia" w:ascii="仿宋_GB2312" w:hAnsi="方正小标宋简体" w:eastAsia="仿宋_GB2312"/>
          <w:sz w:val="32"/>
          <w:szCs w:val="32"/>
        </w:rPr>
        <w:t>加速前沿科技</w:t>
      </w:r>
      <w:r>
        <w:rPr>
          <w:rFonts w:ascii="仿宋_GB2312" w:hAnsi="方正小标宋简体" w:eastAsia="仿宋_GB2312"/>
          <w:sz w:val="32"/>
          <w:szCs w:val="32"/>
        </w:rPr>
        <w:t>成果场景</w:t>
      </w:r>
      <w:r>
        <w:rPr>
          <w:rFonts w:hint="eastAsia" w:ascii="仿宋_GB2312" w:hAnsi="方正小标宋简体" w:eastAsia="仿宋_GB2312"/>
          <w:sz w:val="32"/>
          <w:szCs w:val="32"/>
        </w:rPr>
        <w:t>落地应用</w:t>
      </w:r>
      <w:r>
        <w:rPr>
          <w:rFonts w:ascii="仿宋_GB2312" w:hAnsi="方正小标宋简体" w:eastAsia="仿宋_GB2312"/>
          <w:sz w:val="32"/>
          <w:szCs w:val="32"/>
        </w:rPr>
        <w:t>。</w:t>
      </w:r>
      <w:r>
        <w:rPr>
          <w:rFonts w:hint="eastAsia" w:ascii="仿宋_GB2312" w:hAnsi="方正小标宋简体" w:eastAsia="仿宋_GB2312"/>
          <w:sz w:val="32"/>
          <w:szCs w:val="32"/>
        </w:rPr>
        <w:t>依托新型研发机构、区属平台公司等，常态化梳理</w:t>
      </w:r>
      <w:r>
        <w:rPr>
          <w:rFonts w:ascii="仿宋_GB2312" w:hAnsi="方正小标宋简体" w:eastAsia="仿宋_GB2312"/>
          <w:sz w:val="32"/>
          <w:szCs w:val="32"/>
        </w:rPr>
        <w:t>发布场景需求清单</w:t>
      </w:r>
      <w:r>
        <w:rPr>
          <w:rFonts w:hint="eastAsia" w:ascii="仿宋_GB2312" w:hAnsi="方正小标宋简体" w:eastAsia="仿宋_GB2312"/>
          <w:sz w:val="32"/>
          <w:szCs w:val="32"/>
        </w:rPr>
        <w:t>、技术</w:t>
      </w:r>
      <w:r>
        <w:rPr>
          <w:rFonts w:ascii="仿宋_GB2312" w:hAnsi="方正小标宋简体" w:eastAsia="仿宋_GB2312"/>
          <w:sz w:val="32"/>
          <w:szCs w:val="32"/>
        </w:rPr>
        <w:t>能力清单，搭建线上线下</w:t>
      </w:r>
      <w:r>
        <w:rPr>
          <w:rFonts w:hint="eastAsia" w:ascii="仿宋_GB2312" w:hAnsi="方正小标宋简体" w:eastAsia="仿宋_GB2312"/>
          <w:sz w:val="32"/>
          <w:szCs w:val="32"/>
        </w:rPr>
        <w:t>一体化供需</w:t>
      </w:r>
      <w:r>
        <w:rPr>
          <w:rFonts w:ascii="仿宋_GB2312" w:hAnsi="方正小标宋简体" w:eastAsia="仿宋_GB2312"/>
          <w:sz w:val="32"/>
          <w:szCs w:val="32"/>
        </w:rPr>
        <w:t>对接平台</w:t>
      </w:r>
      <w:r>
        <w:rPr>
          <w:rFonts w:hint="eastAsia" w:ascii="仿宋_GB2312" w:hAnsi="方正小标宋简体" w:eastAsia="仿宋_GB2312"/>
          <w:sz w:val="32"/>
          <w:szCs w:val="32"/>
        </w:rPr>
        <w:t>，精准匹配技术资源与产业场景，提升科创成果落地转化效率</w:t>
      </w:r>
      <w:r>
        <w:rPr>
          <w:rFonts w:ascii="仿宋_GB2312" w:hAnsi="方正小标宋简体" w:eastAsia="仿宋_GB2312"/>
          <w:sz w:val="32"/>
          <w:szCs w:val="32"/>
        </w:rPr>
        <w:t>。</w:t>
      </w:r>
      <w:r>
        <w:rPr>
          <w:rFonts w:hint="eastAsia" w:ascii="楷体_GB2312" w:hAnsi="方正小标宋简体" w:eastAsia="楷体_GB2312"/>
          <w:sz w:val="32"/>
          <w:szCs w:val="32"/>
        </w:rPr>
        <w:t>（责任单位：区科委、校城融合处）</w:t>
      </w:r>
    </w:p>
    <w:p w14:paraId="33CC3AE8">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楷体_GB2312" w:hAnsi="方正小标宋简体" w:eastAsia="楷体_GB2312"/>
          <w:sz w:val="32"/>
          <w:szCs w:val="32"/>
        </w:rPr>
        <w:t>（三）深耕央国企示范引领场景</w:t>
      </w:r>
    </w:p>
    <w:p w14:paraId="523FA974">
      <w:pPr>
        <w:tabs>
          <w:tab w:val="left" w:pos="5460"/>
        </w:tabs>
        <w:spacing w:after="0" w:line="560" w:lineRule="exact"/>
        <w:ind w:firstLine="640" w:firstLineChars="200"/>
        <w:rPr>
          <w:rFonts w:hint="eastAsia" w:ascii="楷体_GB2312" w:hAnsi="方正小标宋简体" w:eastAsia="楷体_GB2312"/>
          <w:sz w:val="32"/>
          <w:szCs w:val="32"/>
        </w:rPr>
      </w:pPr>
      <w:r>
        <w:rPr>
          <w:rFonts w:ascii="仿宋_GB2312" w:hAnsi="方正小标宋简体" w:eastAsia="仿宋_GB2312"/>
          <w:sz w:val="32"/>
          <w:szCs w:val="32"/>
        </w:rPr>
        <w:t>发挥</w:t>
      </w:r>
      <w:r>
        <w:rPr>
          <w:rFonts w:hint="eastAsia" w:ascii="仿宋_GB2312" w:hAnsi="方正小标宋简体" w:eastAsia="仿宋_GB2312"/>
          <w:sz w:val="32"/>
          <w:szCs w:val="32"/>
        </w:rPr>
        <w:t>未来科学城</w:t>
      </w:r>
      <w:r>
        <w:rPr>
          <w:rFonts w:ascii="仿宋_GB2312" w:hAnsi="方正小标宋简体" w:eastAsia="仿宋_GB2312"/>
          <w:sz w:val="32"/>
          <w:szCs w:val="32"/>
        </w:rPr>
        <w:t>央企技术引领作用，</w:t>
      </w:r>
      <w:r>
        <w:rPr>
          <w:rFonts w:hint="eastAsia" w:ascii="仿宋_GB2312" w:hAnsi="方正小标宋简体" w:eastAsia="仿宋_GB2312"/>
          <w:sz w:val="32"/>
          <w:szCs w:val="32"/>
        </w:rPr>
        <w:t>主动释放优质场景资源，聚焦医药健康、先进能源、先进制造</w:t>
      </w:r>
      <w:r>
        <w:rPr>
          <w:rFonts w:ascii="仿宋_GB2312" w:hAnsi="方正小标宋简体" w:eastAsia="仿宋_GB2312"/>
          <w:sz w:val="32"/>
          <w:szCs w:val="32"/>
        </w:rPr>
        <w:t>等领域</w:t>
      </w:r>
      <w:r>
        <w:rPr>
          <w:rFonts w:hint="eastAsia" w:ascii="仿宋_GB2312" w:hAnsi="方正小标宋简体" w:eastAsia="仿宋_GB2312"/>
          <w:sz w:val="32"/>
          <w:szCs w:val="32"/>
        </w:rPr>
        <w:t>开放新技术试点</w:t>
      </w:r>
      <w:r>
        <w:rPr>
          <w:rFonts w:ascii="仿宋_GB2312" w:hAnsi="方正小标宋简体" w:eastAsia="仿宋_GB2312"/>
          <w:sz w:val="32"/>
          <w:szCs w:val="32"/>
        </w:rPr>
        <w:t>应用场景</w:t>
      </w:r>
      <w:r>
        <w:rPr>
          <w:rFonts w:hint="eastAsia" w:ascii="仿宋_GB2312" w:hAnsi="方正小标宋简体" w:eastAsia="仿宋_GB2312"/>
          <w:sz w:val="32"/>
          <w:szCs w:val="32"/>
        </w:rPr>
        <w:t>。</w:t>
      </w:r>
      <w:r>
        <w:rPr>
          <w:rFonts w:ascii="仿宋_GB2312" w:hAnsi="方正小标宋简体" w:eastAsia="仿宋_GB2312"/>
          <w:sz w:val="32"/>
          <w:szCs w:val="32"/>
        </w:rPr>
        <w:t>搭建</w:t>
      </w:r>
      <w:r>
        <w:rPr>
          <w:rFonts w:hint="eastAsia" w:ascii="仿宋_GB2312" w:hAnsi="方正小标宋简体" w:eastAsia="仿宋_GB2312"/>
          <w:sz w:val="32"/>
          <w:szCs w:val="32"/>
        </w:rPr>
        <w:t>央地</w:t>
      </w:r>
      <w:r>
        <w:rPr>
          <w:rFonts w:ascii="仿宋_GB2312" w:hAnsi="方正小标宋简体" w:eastAsia="仿宋_GB2312"/>
          <w:sz w:val="32"/>
          <w:szCs w:val="32"/>
        </w:rPr>
        <w:t>合作平台、加大</w:t>
      </w:r>
      <w:r>
        <w:rPr>
          <w:rFonts w:hint="eastAsia" w:ascii="仿宋_GB2312" w:hAnsi="方正小标宋简体" w:eastAsia="仿宋_GB2312"/>
          <w:sz w:val="32"/>
          <w:szCs w:val="32"/>
        </w:rPr>
        <w:t>创新产品</w:t>
      </w:r>
      <w:r>
        <w:rPr>
          <w:rFonts w:ascii="仿宋_GB2312" w:hAnsi="方正小标宋简体" w:eastAsia="仿宋_GB2312"/>
          <w:sz w:val="32"/>
          <w:szCs w:val="32"/>
        </w:rPr>
        <w:t>采购</w:t>
      </w:r>
      <w:r>
        <w:rPr>
          <w:rFonts w:hint="eastAsia" w:ascii="仿宋_GB2312" w:hAnsi="方正小标宋简体" w:eastAsia="仿宋_GB2312"/>
          <w:sz w:val="32"/>
          <w:szCs w:val="32"/>
        </w:rPr>
        <w:t>推广</w:t>
      </w:r>
      <w:r>
        <w:rPr>
          <w:rFonts w:ascii="仿宋_GB2312" w:hAnsi="方正小标宋简体" w:eastAsia="仿宋_GB2312"/>
          <w:sz w:val="32"/>
          <w:szCs w:val="32"/>
        </w:rPr>
        <w:t>力度，</w:t>
      </w:r>
      <w:r>
        <w:rPr>
          <w:rFonts w:hint="eastAsia" w:ascii="仿宋_GB2312" w:hAnsi="方正小标宋简体" w:eastAsia="仿宋_GB2312"/>
          <w:sz w:val="32"/>
          <w:szCs w:val="32"/>
        </w:rPr>
        <w:t>带动民营企业协同创新、抱团发展</w:t>
      </w:r>
      <w:r>
        <w:rPr>
          <w:rFonts w:ascii="仿宋_GB2312" w:hAnsi="方正小标宋简体" w:eastAsia="仿宋_GB2312"/>
          <w:sz w:val="32"/>
          <w:szCs w:val="32"/>
        </w:rPr>
        <w:t>，加速前沿技术在重点领域的试点示范与规模化应用。推动</w:t>
      </w:r>
      <w:r>
        <w:rPr>
          <w:rFonts w:hint="eastAsia" w:ascii="仿宋_GB2312" w:hAnsi="方正小标宋简体" w:eastAsia="仿宋_GB2312"/>
          <w:sz w:val="32"/>
          <w:szCs w:val="32"/>
        </w:rPr>
        <w:t>市属、区属国企</w:t>
      </w:r>
      <w:r>
        <w:rPr>
          <w:rFonts w:ascii="仿宋_GB2312" w:hAnsi="方正小标宋简体" w:eastAsia="仿宋_GB2312"/>
          <w:sz w:val="32"/>
          <w:szCs w:val="32"/>
        </w:rPr>
        <w:t>自有闲置载体智能化改造和绿色化升级，打造集孵化培育、成果转化、产业聚合于一体的开放性创新创业空间。发挥考核</w:t>
      </w:r>
      <w:r>
        <w:rPr>
          <w:rFonts w:hint="eastAsia" w:ascii="仿宋_GB2312" w:hAnsi="方正小标宋简体" w:eastAsia="仿宋_GB2312"/>
          <w:sz w:val="32"/>
          <w:szCs w:val="32"/>
        </w:rPr>
        <w:t>“</w:t>
      </w:r>
      <w:r>
        <w:rPr>
          <w:rFonts w:ascii="仿宋_GB2312" w:hAnsi="方正小标宋简体" w:eastAsia="仿宋_GB2312"/>
          <w:sz w:val="32"/>
          <w:szCs w:val="32"/>
        </w:rPr>
        <w:t>指挥棒</w:t>
      </w:r>
      <w:r>
        <w:rPr>
          <w:rFonts w:hint="eastAsia" w:ascii="仿宋_GB2312" w:hAnsi="方正小标宋简体" w:eastAsia="仿宋_GB2312"/>
          <w:sz w:val="32"/>
          <w:szCs w:val="32"/>
        </w:rPr>
        <w:t>”</w:t>
      </w:r>
      <w:r>
        <w:rPr>
          <w:rFonts w:ascii="仿宋_GB2312" w:hAnsi="方正小标宋简体" w:eastAsia="仿宋_GB2312"/>
          <w:sz w:val="32"/>
          <w:szCs w:val="32"/>
        </w:rPr>
        <w:t>作用，推动区属国企积极开放场景资源，与创新型企业、科研院所等联合开展场景共建共创。</w:t>
      </w:r>
      <w:r>
        <w:rPr>
          <w:rFonts w:hint="eastAsia" w:ascii="仿宋_GB2312" w:hAnsi="方正小标宋简体" w:eastAsia="仿宋_GB2312"/>
          <w:sz w:val="32"/>
          <w:szCs w:val="32"/>
        </w:rPr>
        <w:t>（</w:t>
      </w:r>
      <w:r>
        <w:rPr>
          <w:rFonts w:hint="eastAsia" w:ascii="楷体_GB2312" w:hAnsi="方正小标宋简体" w:eastAsia="楷体_GB2312"/>
          <w:sz w:val="32"/>
          <w:szCs w:val="32"/>
        </w:rPr>
        <w:t>责任单位：央企服务处、先进能源处、区国资委）</w:t>
      </w:r>
    </w:p>
    <w:p w14:paraId="6D88E8D6">
      <w:pPr>
        <w:tabs>
          <w:tab w:val="left" w:pos="5460"/>
        </w:tabs>
        <w:spacing w:after="0" w:line="560" w:lineRule="exact"/>
        <w:ind w:firstLine="640" w:firstLineChars="200"/>
        <w:rPr>
          <w:rFonts w:hint="eastAsia" w:ascii="仿宋_GB2312" w:hAnsi="方正小标宋简体" w:eastAsia="仿宋_GB2312"/>
          <w:b/>
          <w:bCs/>
          <w:sz w:val="32"/>
          <w:szCs w:val="32"/>
        </w:rPr>
      </w:pPr>
      <w:r>
        <w:rPr>
          <w:rFonts w:hint="eastAsia" w:ascii="楷体_GB2312" w:hAnsi="方正小标宋简体" w:eastAsia="楷体_GB2312"/>
          <w:sz w:val="32"/>
          <w:szCs w:val="32"/>
        </w:rPr>
        <w:t>（四）做强链主企业行业赋能场景</w:t>
      </w:r>
    </w:p>
    <w:p w14:paraId="17F016CD">
      <w:pPr>
        <w:tabs>
          <w:tab w:val="left" w:pos="5460"/>
        </w:tabs>
        <w:spacing w:after="0" w:line="560" w:lineRule="exact"/>
        <w:ind w:firstLine="640" w:firstLineChars="200"/>
        <w:rPr>
          <w:rFonts w:hint="eastAsia" w:ascii="楷体_GB2312" w:hAnsi="方正小标宋简体" w:eastAsia="楷体_GB2312"/>
          <w:sz w:val="32"/>
          <w:szCs w:val="32"/>
        </w:rPr>
      </w:pPr>
      <w:r>
        <w:rPr>
          <w:rFonts w:ascii="仿宋_GB2312" w:hAnsi="方正小标宋简体" w:eastAsia="仿宋_GB2312"/>
          <w:sz w:val="32"/>
          <w:szCs w:val="32"/>
        </w:rPr>
        <w:t>鼓励</w:t>
      </w:r>
      <w:r>
        <w:rPr>
          <w:rFonts w:hint="eastAsia" w:ascii="仿宋_GB2312" w:hAnsi="方正小标宋简体" w:eastAsia="仿宋_GB2312"/>
          <w:sz w:val="32"/>
          <w:szCs w:val="32"/>
        </w:rPr>
        <w:t>全区重点产业链主、龙头企业资源，围绕</w:t>
      </w:r>
      <w:r>
        <w:rPr>
          <w:rFonts w:ascii="仿宋_GB2312" w:hAnsi="方正小标宋简体" w:eastAsia="仿宋_GB2312"/>
          <w:sz w:val="32"/>
          <w:szCs w:val="32"/>
        </w:rPr>
        <w:t>生产运营</w:t>
      </w:r>
      <w:r>
        <w:rPr>
          <w:rFonts w:hint="eastAsia" w:ascii="仿宋_GB2312" w:hAnsi="方正小标宋简体" w:eastAsia="仿宋_GB2312"/>
          <w:sz w:val="32"/>
          <w:szCs w:val="32"/>
        </w:rPr>
        <w:t>、产业升级实际</w:t>
      </w:r>
      <w:r>
        <w:rPr>
          <w:rFonts w:ascii="仿宋_GB2312" w:hAnsi="方正小标宋简体" w:eastAsia="仿宋_GB2312"/>
          <w:sz w:val="32"/>
          <w:szCs w:val="32"/>
        </w:rPr>
        <w:t>需求</w:t>
      </w:r>
      <w:r>
        <w:rPr>
          <w:rFonts w:hint="eastAsia" w:ascii="仿宋_GB2312" w:hAnsi="方正小标宋简体" w:eastAsia="仿宋_GB2312"/>
          <w:sz w:val="32"/>
          <w:szCs w:val="32"/>
        </w:rPr>
        <w:t>，打造可示范、可复制的行</w:t>
      </w:r>
      <w:r>
        <w:rPr>
          <w:rFonts w:ascii="仿宋_GB2312" w:hAnsi="方正小标宋简体" w:eastAsia="仿宋_GB2312"/>
          <w:sz w:val="32"/>
          <w:szCs w:val="32"/>
        </w:rPr>
        <w:t>业标杆场景。</w:t>
      </w:r>
      <w:r>
        <w:rPr>
          <w:rFonts w:hint="eastAsia" w:ascii="仿宋_GB2312" w:hAnsi="方正小标宋简体" w:eastAsia="仿宋_GB2312"/>
          <w:sz w:val="32"/>
          <w:szCs w:val="32"/>
        </w:rPr>
        <w:t>支持</w:t>
      </w:r>
      <w:r>
        <w:rPr>
          <w:rFonts w:ascii="仿宋_GB2312" w:hAnsi="方正小标宋简体" w:eastAsia="仿宋_GB2312"/>
          <w:sz w:val="32"/>
          <w:szCs w:val="32"/>
        </w:rPr>
        <w:t>龙头企业</w:t>
      </w:r>
      <w:r>
        <w:rPr>
          <w:rFonts w:hint="eastAsia" w:ascii="仿宋_GB2312" w:hAnsi="方正小标宋简体" w:eastAsia="仿宋_GB2312"/>
          <w:sz w:val="32"/>
          <w:szCs w:val="32"/>
        </w:rPr>
        <w:t>牵头举办</w:t>
      </w:r>
      <w:r>
        <w:rPr>
          <w:rFonts w:ascii="仿宋_GB2312" w:hAnsi="方正小标宋简体" w:eastAsia="仿宋_GB2312"/>
          <w:sz w:val="32"/>
          <w:szCs w:val="32"/>
        </w:rPr>
        <w:t>行业场景</w:t>
      </w:r>
      <w:r>
        <w:rPr>
          <w:rFonts w:hint="eastAsia" w:ascii="仿宋_GB2312" w:hAnsi="方正小标宋简体" w:eastAsia="仿宋_GB2312"/>
          <w:sz w:val="32"/>
          <w:szCs w:val="32"/>
        </w:rPr>
        <w:t>赛事活动</w:t>
      </w:r>
      <w:r>
        <w:rPr>
          <w:rFonts w:ascii="仿宋_GB2312" w:hAnsi="方正小标宋简体" w:eastAsia="仿宋_GB2312"/>
          <w:sz w:val="32"/>
          <w:szCs w:val="32"/>
        </w:rPr>
        <w:t>，广泛收集产业链上下游企业的共性新技术应用需求，</w:t>
      </w:r>
      <w:r>
        <w:rPr>
          <w:rFonts w:hint="eastAsia" w:ascii="仿宋_GB2312" w:hAnsi="方正小标宋简体" w:eastAsia="仿宋_GB2312"/>
          <w:sz w:val="32"/>
          <w:szCs w:val="32"/>
        </w:rPr>
        <w:t>持续挖掘优质</w:t>
      </w:r>
      <w:r>
        <w:rPr>
          <w:rFonts w:ascii="仿宋_GB2312" w:hAnsi="方正小标宋简体" w:eastAsia="仿宋_GB2312"/>
          <w:sz w:val="32"/>
          <w:szCs w:val="32"/>
        </w:rPr>
        <w:t>场景机会。</w:t>
      </w:r>
      <w:r>
        <w:rPr>
          <w:rFonts w:hint="eastAsia" w:ascii="仿宋_GB2312" w:hAnsi="方正小标宋简体" w:eastAsia="仿宋_GB2312"/>
          <w:sz w:val="32"/>
          <w:szCs w:val="32"/>
        </w:rPr>
        <w:t>鼓励</w:t>
      </w:r>
      <w:r>
        <w:rPr>
          <w:rFonts w:ascii="仿宋_GB2312" w:hAnsi="方正小标宋简体" w:eastAsia="仿宋_GB2312"/>
          <w:sz w:val="32"/>
          <w:szCs w:val="32"/>
        </w:rPr>
        <w:t>行业龙头企业</w:t>
      </w:r>
      <w:r>
        <w:rPr>
          <w:rFonts w:hint="eastAsia" w:ascii="仿宋_GB2312" w:hAnsi="方正小标宋简体" w:eastAsia="仿宋_GB2312"/>
          <w:sz w:val="32"/>
          <w:szCs w:val="32"/>
        </w:rPr>
        <w:t>搭建</w:t>
      </w:r>
      <w:r>
        <w:rPr>
          <w:rFonts w:ascii="仿宋_GB2312" w:hAnsi="方正小标宋简体" w:eastAsia="仿宋_GB2312"/>
          <w:sz w:val="32"/>
          <w:szCs w:val="32"/>
        </w:rPr>
        <w:t>开放</w:t>
      </w:r>
      <w:r>
        <w:rPr>
          <w:rFonts w:hint="eastAsia" w:ascii="仿宋_GB2312" w:hAnsi="方正小标宋简体" w:eastAsia="仿宋_GB2312"/>
          <w:sz w:val="32"/>
          <w:szCs w:val="32"/>
        </w:rPr>
        <w:t>式</w:t>
      </w:r>
      <w:r>
        <w:rPr>
          <w:rFonts w:ascii="仿宋_GB2312" w:hAnsi="方正小标宋简体" w:eastAsia="仿宋_GB2312"/>
          <w:sz w:val="32"/>
          <w:szCs w:val="32"/>
        </w:rPr>
        <w:t>新技术</w:t>
      </w:r>
      <w:r>
        <w:rPr>
          <w:rFonts w:hint="eastAsia" w:ascii="仿宋_GB2312" w:hAnsi="方正小标宋简体" w:eastAsia="仿宋_GB2312"/>
          <w:sz w:val="32"/>
          <w:szCs w:val="32"/>
        </w:rPr>
        <w:t>试验验证</w:t>
      </w:r>
      <w:r>
        <w:rPr>
          <w:rFonts w:ascii="仿宋_GB2312" w:hAnsi="方正小标宋简体" w:eastAsia="仿宋_GB2312"/>
          <w:sz w:val="32"/>
          <w:szCs w:val="32"/>
        </w:rPr>
        <w:t>平台，为新技术、新产品提供</w:t>
      </w:r>
      <w:r>
        <w:rPr>
          <w:rFonts w:hint="eastAsia" w:ascii="仿宋_GB2312" w:hAnsi="方正小标宋简体" w:eastAsia="仿宋_GB2312"/>
          <w:sz w:val="32"/>
          <w:szCs w:val="32"/>
        </w:rPr>
        <w:t>真实产业验证、应用场景，带动产业链迭代升级</w:t>
      </w:r>
      <w:r>
        <w:rPr>
          <w:rFonts w:ascii="仿宋_GB2312" w:hAnsi="方正小标宋简体" w:eastAsia="仿宋_GB2312"/>
          <w:sz w:val="32"/>
          <w:szCs w:val="32"/>
        </w:rPr>
        <w:t>。</w:t>
      </w:r>
      <w:r>
        <w:rPr>
          <w:rFonts w:hint="eastAsia" w:ascii="楷体_GB2312" w:hAnsi="方正小标宋简体" w:eastAsia="楷体_GB2312"/>
          <w:sz w:val="32"/>
          <w:szCs w:val="32"/>
        </w:rPr>
        <w:t>（责任单位：区经信局、区科委、医药健康产业处、生命科学服务处、先进能源处、科技园区管委会）</w:t>
      </w:r>
    </w:p>
    <w:p w14:paraId="6069DEAA">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楷体_GB2312" w:hAnsi="方正小标宋简体" w:eastAsia="楷体_GB2312"/>
          <w:sz w:val="32"/>
          <w:szCs w:val="32"/>
        </w:rPr>
        <w:t>（五）搭建行业协会协同联动场景</w:t>
      </w:r>
    </w:p>
    <w:p w14:paraId="42C78131">
      <w:pPr>
        <w:tabs>
          <w:tab w:val="left" w:pos="5460"/>
        </w:tabs>
        <w:spacing w:after="0" w:line="560" w:lineRule="exact"/>
        <w:ind w:firstLine="640" w:firstLineChars="200"/>
        <w:rPr>
          <w:rFonts w:hint="eastAsia" w:ascii="楷体_GB2312" w:hAnsi="方正小标宋简体" w:eastAsia="楷体_GB2312"/>
          <w:sz w:val="32"/>
          <w:szCs w:val="32"/>
        </w:rPr>
      </w:pPr>
      <w:r>
        <w:rPr>
          <w:rFonts w:hint="eastAsia" w:ascii="仿宋_GB2312" w:hAnsi="方正小标宋简体" w:eastAsia="仿宋_GB2312"/>
          <w:sz w:val="32"/>
          <w:szCs w:val="32"/>
        </w:rPr>
        <w:t>充分发挥各行业协会桥梁纽带、资源聚合作用，搭建供需对接平台，打通技术研发与市场落地通道。定期组织开展场景对接、案例推介、经验交流等活动，推动上下游企业协同试点示范。引导会员企业主动开放内部测试、示范应用场景，降低企业创新试错成本，助力行业高质量发展。</w:t>
      </w:r>
      <w:r>
        <w:rPr>
          <w:rFonts w:hint="eastAsia" w:ascii="楷体_GB2312" w:hAnsi="方正小标宋简体" w:eastAsia="楷体_GB2312"/>
          <w:sz w:val="32"/>
          <w:szCs w:val="32"/>
        </w:rPr>
        <w:t>（责任单位：工商联、各相关单位）</w:t>
      </w:r>
    </w:p>
    <w:bookmarkEnd w:id="2"/>
    <w:p w14:paraId="06844289">
      <w:pPr>
        <w:spacing w:after="0" w:line="560" w:lineRule="exact"/>
        <w:ind w:firstLine="640" w:firstLineChars="200"/>
        <w:textAlignment w:val="baseline"/>
        <w:rPr>
          <w:rStyle w:val="15"/>
          <w:rFonts w:hint="eastAsia" w:ascii="黑体" w:hAnsi="黑体" w:eastAsia="黑体"/>
          <w:color w:val="000000"/>
          <w:sz w:val="32"/>
          <w:szCs w:val="32"/>
        </w:rPr>
      </w:pPr>
      <w:r>
        <w:rPr>
          <w:rStyle w:val="15"/>
          <w:rFonts w:hint="eastAsia" w:ascii="黑体" w:hAnsi="黑体" w:eastAsia="黑体"/>
          <w:color w:val="000000"/>
          <w:sz w:val="32"/>
          <w:szCs w:val="32"/>
        </w:rPr>
        <w:t>四</w:t>
      </w:r>
      <w:r>
        <w:rPr>
          <w:rStyle w:val="15"/>
          <w:rFonts w:ascii="黑体" w:hAnsi="黑体" w:eastAsia="黑体"/>
          <w:color w:val="000000"/>
          <w:sz w:val="32"/>
          <w:szCs w:val="32"/>
        </w:rPr>
        <w:t>、</w:t>
      </w:r>
      <w:r>
        <w:rPr>
          <w:rStyle w:val="15"/>
          <w:rFonts w:hint="eastAsia" w:ascii="黑体" w:hAnsi="黑体" w:eastAsia="黑体"/>
          <w:color w:val="000000"/>
          <w:sz w:val="32"/>
          <w:szCs w:val="32"/>
        </w:rPr>
        <w:t>要素保障</w:t>
      </w:r>
    </w:p>
    <w:p w14:paraId="6779D566">
      <w:pPr>
        <w:tabs>
          <w:tab w:val="left" w:pos="5460"/>
        </w:tabs>
        <w:spacing w:after="0" w:line="560" w:lineRule="exact"/>
        <w:ind w:firstLine="640" w:firstLineChars="200"/>
        <w:rPr>
          <w:rStyle w:val="15"/>
          <w:rFonts w:hint="eastAsia" w:ascii="黑体" w:hAnsi="黑体" w:eastAsia="黑体"/>
          <w:b/>
          <w:bCs/>
          <w:color w:val="000000"/>
          <w:sz w:val="32"/>
          <w:szCs w:val="32"/>
        </w:rPr>
      </w:pPr>
      <w:r>
        <w:rPr>
          <w:rStyle w:val="15"/>
          <w:rFonts w:hint="eastAsia" w:ascii="楷体_GB2312" w:hAnsi="楷体_GB2312" w:eastAsia="楷体_GB2312"/>
          <w:color w:val="000000"/>
          <w:sz w:val="32"/>
          <w:szCs w:val="32"/>
        </w:rPr>
        <w:t>（一）强化</w:t>
      </w:r>
      <w:r>
        <w:rPr>
          <w:rStyle w:val="15"/>
          <w:rFonts w:ascii="楷体_GB2312" w:hAnsi="楷体_GB2312" w:eastAsia="楷体_GB2312"/>
          <w:color w:val="000000"/>
          <w:sz w:val="32"/>
          <w:szCs w:val="32"/>
        </w:rPr>
        <w:t>政策</w:t>
      </w:r>
      <w:r>
        <w:rPr>
          <w:rStyle w:val="15"/>
          <w:rFonts w:hint="eastAsia" w:ascii="楷体_GB2312" w:hAnsi="楷体_GB2312" w:eastAsia="楷体_GB2312"/>
          <w:color w:val="000000"/>
          <w:sz w:val="32"/>
          <w:szCs w:val="32"/>
        </w:rPr>
        <w:t>协同</w:t>
      </w:r>
      <w:r>
        <w:rPr>
          <w:rStyle w:val="15"/>
          <w:rFonts w:ascii="楷体_GB2312" w:hAnsi="楷体_GB2312" w:eastAsia="楷体_GB2312"/>
          <w:color w:val="000000"/>
          <w:sz w:val="32"/>
          <w:szCs w:val="32"/>
        </w:rPr>
        <w:t>。</w:t>
      </w:r>
      <w:r>
        <w:rPr>
          <w:rStyle w:val="15"/>
          <w:rFonts w:ascii="仿宋_GB2312" w:eastAsia="仿宋_GB2312"/>
          <w:sz w:val="32"/>
          <w:szCs w:val="32"/>
        </w:rPr>
        <w:t>推动形成应用场景政策支撑体系，</w:t>
      </w:r>
      <w:r>
        <w:rPr>
          <w:rStyle w:val="15"/>
          <w:rFonts w:hint="eastAsia" w:ascii="仿宋_GB2312" w:eastAsia="仿宋_GB2312"/>
          <w:sz w:val="32"/>
          <w:szCs w:val="32"/>
        </w:rPr>
        <w:t>不断优化审批路径，</w:t>
      </w:r>
      <w:r>
        <w:rPr>
          <w:rStyle w:val="15"/>
          <w:rFonts w:ascii="仿宋_GB2312" w:eastAsia="仿宋_GB2312"/>
          <w:sz w:val="32"/>
          <w:szCs w:val="32"/>
        </w:rPr>
        <w:t>为促进产业发展、培育新动能提供完备的制度环境。发挥财政资金引导作用，对技术创新度高、行业带动性强、示范效果好的应用场景建设项目给予资金支持。</w:t>
      </w:r>
      <w:r>
        <w:rPr>
          <w:rStyle w:val="15"/>
          <w:rFonts w:ascii="仿宋_GB2312" w:hAnsi="仿宋_GB2312" w:eastAsia="仿宋_GB2312"/>
          <w:color w:val="000000"/>
          <w:sz w:val="32"/>
          <w:szCs w:val="32"/>
        </w:rPr>
        <w:t>强化创新产品首购首用，运用政府采购政策支持创新产品和服务，推动技术创新与市场应用有效衔接。优化支持服务举措，积极提供平台，推动数据资源整合共享，完善创新创业生态，为推动企业特别是中小企业技术创新应用提供有利条件。</w:t>
      </w:r>
      <w:r>
        <w:rPr>
          <w:rFonts w:hint="eastAsia" w:ascii="楷体_GB2312" w:hAnsi="方正小标宋简体" w:eastAsia="楷体_GB2312"/>
          <w:sz w:val="32"/>
          <w:szCs w:val="32"/>
        </w:rPr>
        <w:t>（责任单位：区发改委、区财政局、区经信局、各行业主管部门）</w:t>
      </w:r>
    </w:p>
    <w:p w14:paraId="5274ECAB">
      <w:pPr>
        <w:widowControl/>
        <w:tabs>
          <w:tab w:val="left" w:pos="5460"/>
        </w:tabs>
        <w:spacing w:after="0" w:line="560" w:lineRule="exact"/>
        <w:ind w:firstLine="640" w:firstLineChars="200"/>
        <w:jc w:val="left"/>
        <w:rPr>
          <w:rStyle w:val="15"/>
          <w:rFonts w:hint="eastAsia" w:ascii="仿宋_GB2312" w:hAnsi="仿宋" w:eastAsia="仿宋_GB2312"/>
          <w:color w:val="000000"/>
          <w:sz w:val="32"/>
          <w:szCs w:val="32"/>
        </w:rPr>
      </w:pPr>
      <w:r>
        <w:rPr>
          <w:rStyle w:val="15"/>
          <w:rFonts w:hint="eastAsia" w:ascii="楷体_GB2312" w:hAnsi="黑体" w:eastAsia="楷体_GB2312"/>
          <w:color w:val="000000"/>
          <w:sz w:val="32"/>
          <w:szCs w:val="32"/>
        </w:rPr>
        <w:t>（二）创新要素供给。</w:t>
      </w:r>
      <w:r>
        <w:rPr>
          <w:rStyle w:val="15"/>
          <w:rFonts w:hint="eastAsia" w:ascii="仿宋_GB2312" w:hAnsi="仿宋" w:eastAsia="仿宋_GB2312"/>
          <w:color w:val="000000"/>
          <w:sz w:val="32"/>
          <w:szCs w:val="32"/>
        </w:rPr>
        <w:t>夯实产业空间载体，统筹产业园区、楼宇及公共空间资源，布局概念验证、中试示范载体，为新技术新产品提供落地试验空间，打通场景供需对接渠道。强化人才支撑，引育懂产业、懂技术、懂场景的复合型人才，深化产学研协同，支持科研人员参与场景项目，完善柔性引才机制，激发人才创新活力。</w:t>
      </w:r>
      <w:r>
        <w:rPr>
          <w:rStyle w:val="15"/>
          <w:rFonts w:hint="eastAsia" w:ascii="仿宋_GB2312" w:hAnsi="黑体" w:eastAsia="仿宋_GB2312"/>
          <w:color w:val="000000"/>
          <w:sz w:val="32"/>
          <w:szCs w:val="32"/>
        </w:rPr>
        <w:t>鼓励算力平台、共性技术平台、行业训练数据集、仿真训练平台等基础设施资源开放共享，为企业开展场景创新提供算力、算法资源。鼓励通过共享开放、服务购买、创新券等方式，降低企业基础设施使用成本，提升场景创新的算力支撑。</w:t>
      </w:r>
      <w:r>
        <w:rPr>
          <w:rFonts w:eastAsia="仿宋_GB2312"/>
          <w:sz w:val="32"/>
        </w:rPr>
        <w:t>支持有关主体聚焦重点场景有序开放公共数据和行业数据，</w:t>
      </w:r>
      <w:r>
        <w:rPr>
          <w:rFonts w:hint="eastAsia" w:eastAsia="仿宋_GB2312"/>
          <w:sz w:val="32"/>
        </w:rPr>
        <w:t>打造高质量数据集和可信数据空间，</w:t>
      </w:r>
      <w:r>
        <w:rPr>
          <w:rFonts w:hint="eastAsia" w:eastAsia="仿宋_GB2312"/>
          <w:sz w:val="32"/>
          <w:szCs w:val="32"/>
        </w:rPr>
        <w:t>促进数据资源高效流动。</w:t>
      </w:r>
      <w:r>
        <w:rPr>
          <w:rFonts w:hint="eastAsia" w:ascii="楷体_GB2312" w:hAnsi="方正小标宋简体" w:eastAsia="楷体_GB2312"/>
          <w:sz w:val="32"/>
          <w:szCs w:val="32"/>
        </w:rPr>
        <w:t>（责任单位：区经信局、区规自分局、区人才局、区政数局、区投促中心）</w:t>
      </w:r>
    </w:p>
    <w:p w14:paraId="1F238F42">
      <w:pPr>
        <w:widowControl/>
        <w:tabs>
          <w:tab w:val="left" w:pos="5460"/>
        </w:tabs>
        <w:spacing w:after="0" w:line="560" w:lineRule="exact"/>
        <w:ind w:firstLine="640" w:firstLineChars="200"/>
        <w:jc w:val="left"/>
        <w:rPr>
          <w:rStyle w:val="15"/>
          <w:rFonts w:hint="eastAsia" w:ascii="仿宋_GB2312" w:hAnsi="黑体" w:eastAsia="仿宋_GB2312"/>
          <w:color w:val="000000"/>
          <w:sz w:val="32"/>
          <w:szCs w:val="32"/>
          <w:highlight w:val="yellow"/>
        </w:rPr>
      </w:pPr>
      <w:r>
        <w:rPr>
          <w:rStyle w:val="15"/>
          <w:rFonts w:hint="eastAsia" w:ascii="楷体_GB2312" w:hAnsi="仿宋" w:eastAsia="楷体_GB2312"/>
          <w:color w:val="000000"/>
          <w:sz w:val="32"/>
          <w:szCs w:val="32"/>
        </w:rPr>
        <w:t>（三）加强金融支持。</w:t>
      </w:r>
      <w:r>
        <w:rPr>
          <w:rFonts w:hint="eastAsia" w:ascii="仿宋_GB2312" w:hAnsi="仿宋_GB2312" w:eastAsia="仿宋_GB2312" w:cs="仿宋_GB2312"/>
          <w:sz w:val="32"/>
          <w:szCs w:val="32"/>
        </w:rPr>
        <w:t>加强科技金融服务供给，构建财政资金、国有资本、社会资本三位一体的金融支持体系，鼓励金融机构开发“场景贷”等创新金融产品，引导保险机构开发新型保险产品，支持场景开放和产品技术验证。</w:t>
      </w:r>
      <w:r>
        <w:rPr>
          <w:rFonts w:hint="eastAsia" w:ascii="楷体_GB2312" w:hAnsi="方正小标宋简体" w:eastAsia="楷体_GB2312"/>
          <w:sz w:val="32"/>
          <w:szCs w:val="32"/>
        </w:rPr>
        <w:t>（责任单位：区发改委）</w:t>
      </w:r>
    </w:p>
    <w:p w14:paraId="02137798">
      <w:pPr>
        <w:spacing w:after="0" w:line="560" w:lineRule="exact"/>
        <w:ind w:firstLine="640" w:firstLineChars="200"/>
        <w:textAlignment w:val="baseline"/>
        <w:rPr>
          <w:rStyle w:val="15"/>
          <w:rFonts w:hint="eastAsia" w:ascii="黑体" w:hAnsi="黑体" w:eastAsia="黑体"/>
          <w:color w:val="000000"/>
          <w:sz w:val="32"/>
          <w:szCs w:val="32"/>
        </w:rPr>
      </w:pPr>
      <w:r>
        <w:rPr>
          <w:rStyle w:val="15"/>
          <w:rFonts w:hint="eastAsia" w:ascii="黑体" w:hAnsi="黑体" w:eastAsia="黑体"/>
          <w:color w:val="000000"/>
          <w:sz w:val="32"/>
          <w:szCs w:val="32"/>
        </w:rPr>
        <w:t>五、组织保障</w:t>
      </w:r>
    </w:p>
    <w:p w14:paraId="2D0DD2CA">
      <w:pPr>
        <w:spacing w:after="0" w:line="560" w:lineRule="exact"/>
        <w:ind w:firstLine="640" w:firstLineChars="200"/>
        <w:outlineLvl w:val="2"/>
        <w:rPr>
          <w:rStyle w:val="15"/>
          <w:rFonts w:hint="eastAsia" w:ascii="仿宋_GB2312" w:hAnsi="仿宋_GB2312" w:eastAsia="仿宋_GB2312"/>
          <w:sz w:val="32"/>
          <w:szCs w:val="32"/>
        </w:rPr>
      </w:pPr>
      <w:r>
        <w:rPr>
          <w:rStyle w:val="15"/>
          <w:rFonts w:ascii="楷体_GB2312" w:hAnsi="楷体_GB2312" w:eastAsia="楷体_GB2312"/>
          <w:color w:val="000000"/>
          <w:sz w:val="32"/>
          <w:szCs w:val="32"/>
        </w:rPr>
        <w:t>（一）强化组织领导。</w:t>
      </w:r>
      <w:r>
        <w:rPr>
          <w:rStyle w:val="15"/>
          <w:rFonts w:ascii="仿宋_GB2312" w:hAnsi="仿宋" w:eastAsia="仿宋_GB2312"/>
          <w:color w:val="000000"/>
          <w:sz w:val="32"/>
          <w:szCs w:val="32"/>
        </w:rPr>
        <w:t>充分发挥政府引导作用，</w:t>
      </w:r>
      <w:r>
        <w:rPr>
          <w:rStyle w:val="15"/>
          <w:rFonts w:hint="eastAsia" w:ascii="仿宋_GB2312" w:hAnsi="仿宋" w:eastAsia="仿宋_GB2312"/>
          <w:color w:val="000000"/>
          <w:sz w:val="32"/>
          <w:szCs w:val="32"/>
        </w:rPr>
        <w:t>区政府主要领导牵头，组建应用场景建设领导小组，区发改委发挥办公室作用，建立全区“场景需求、场景能力、应用示范”三张清单，</w:t>
      </w:r>
      <w:r>
        <w:rPr>
          <w:rFonts w:hint="eastAsia" w:ascii="仿宋_GB2312" w:hAnsi="仿宋_GB2312" w:eastAsia="仿宋_GB2312" w:cs="仿宋_GB2312"/>
          <w:sz w:val="32"/>
        </w:rPr>
        <w:t>形成定期协同调度机制，按季度调度和推动场景培育开放工作，凝聚发展合力，落实各项任务。</w:t>
      </w:r>
      <w:r>
        <w:rPr>
          <w:rStyle w:val="15"/>
          <w:rFonts w:hint="eastAsia" w:ascii="仿宋_GB2312" w:hAnsi="仿宋" w:eastAsia="仿宋_GB2312"/>
          <w:color w:val="000000"/>
          <w:sz w:val="32"/>
          <w:szCs w:val="32"/>
        </w:rPr>
        <w:t>落实“管行业必须管场景”责任，</w:t>
      </w:r>
      <w:r>
        <w:rPr>
          <w:rStyle w:val="15"/>
          <w:rFonts w:hint="eastAsia" w:ascii="仿宋_GB2312" w:hAnsi="仿宋_GB2312" w:eastAsia="仿宋_GB2312"/>
          <w:color w:val="000000"/>
          <w:sz w:val="32"/>
          <w:szCs w:val="32"/>
        </w:rPr>
        <w:t>各行业主管部门、园区、镇街</w:t>
      </w:r>
      <w:r>
        <w:rPr>
          <w:rStyle w:val="15"/>
          <w:rFonts w:ascii="仿宋_GB2312" w:hAnsi="仿宋_GB2312" w:eastAsia="仿宋_GB2312"/>
          <w:color w:val="000000"/>
          <w:sz w:val="32"/>
          <w:szCs w:val="32"/>
        </w:rPr>
        <w:t>负责做好本</w:t>
      </w:r>
      <w:r>
        <w:rPr>
          <w:rStyle w:val="15"/>
          <w:rFonts w:hint="eastAsia" w:ascii="仿宋_GB2312" w:hAnsi="仿宋_GB2312" w:eastAsia="仿宋_GB2312"/>
          <w:color w:val="000000"/>
          <w:sz w:val="32"/>
          <w:szCs w:val="32"/>
        </w:rPr>
        <w:t>行业、本区域</w:t>
      </w:r>
      <w:r>
        <w:rPr>
          <w:rStyle w:val="15"/>
          <w:rFonts w:ascii="仿宋_GB2312" w:hAnsi="仿宋_GB2312" w:eastAsia="仿宋_GB2312"/>
          <w:color w:val="000000"/>
          <w:sz w:val="32"/>
          <w:szCs w:val="32"/>
        </w:rPr>
        <w:t>内</w:t>
      </w:r>
      <w:r>
        <w:rPr>
          <w:rStyle w:val="15"/>
          <w:rFonts w:hint="eastAsia" w:ascii="仿宋_GB2312" w:hAnsi="仿宋_GB2312" w:eastAsia="仿宋_GB2312"/>
          <w:color w:val="000000"/>
          <w:sz w:val="32"/>
          <w:szCs w:val="32"/>
        </w:rPr>
        <w:t>的场景资源挖掘、征集发布、供需对接、平台搭建等</w:t>
      </w:r>
      <w:r>
        <w:rPr>
          <w:rStyle w:val="15"/>
          <w:rFonts w:ascii="仿宋_GB2312" w:hAnsi="仿宋_GB2312" w:eastAsia="仿宋_GB2312"/>
          <w:color w:val="000000"/>
          <w:sz w:val="32"/>
          <w:szCs w:val="32"/>
        </w:rPr>
        <w:t>工作</w:t>
      </w:r>
      <w:r>
        <w:rPr>
          <w:rStyle w:val="15"/>
          <w:rFonts w:hint="eastAsia" w:ascii="仿宋_GB2312" w:hAnsi="仿宋_GB2312" w:eastAsia="仿宋_GB2312"/>
          <w:color w:val="000000"/>
          <w:sz w:val="32"/>
          <w:szCs w:val="32"/>
        </w:rPr>
        <w:t>；国资委、未来城管委会央企服务处、先进能源产业处负责，</w:t>
      </w:r>
      <w:r>
        <w:rPr>
          <w:rStyle w:val="15"/>
          <w:rFonts w:hint="eastAsia" w:ascii="仿宋_GB2312" w:hAnsi="华文楷体" w:eastAsia="仿宋_GB2312"/>
          <w:sz w:val="32"/>
          <w:szCs w:val="32"/>
        </w:rPr>
        <w:t>组织央国企主动开放应用场景；科委、未来城管委会校城融合处负责，组织驻昌高校、科研院所围绕企业需求</w:t>
      </w:r>
      <w:r>
        <w:rPr>
          <w:rFonts w:hint="eastAsia" w:ascii="仿宋_GB2312" w:hAnsi="仿宋_GB2312" w:eastAsia="仿宋_GB2312" w:cs="仿宋_GB2312"/>
          <w:sz w:val="32"/>
          <w:szCs w:val="32"/>
        </w:rPr>
        <w:t>开展产学研合作，组成场景创新联合体共同</w:t>
      </w:r>
      <w:r>
        <w:rPr>
          <w:rStyle w:val="15"/>
          <w:rFonts w:hint="eastAsia" w:ascii="仿宋_GB2312" w:hAnsi="华文楷体" w:eastAsia="仿宋_GB2312"/>
          <w:sz w:val="32"/>
          <w:szCs w:val="32"/>
        </w:rPr>
        <w:t>开展技术攻关，提出</w:t>
      </w:r>
      <w:r>
        <w:rPr>
          <w:rFonts w:hint="eastAsia" w:ascii="仿宋_GB2312" w:hAnsi="仿宋_GB2312" w:eastAsia="仿宋_GB2312" w:cs="仿宋_GB2312"/>
          <w:sz w:val="32"/>
          <w:szCs w:val="32"/>
        </w:rPr>
        <w:t>场景建设和解决方案</w:t>
      </w:r>
      <w:r>
        <w:rPr>
          <w:rStyle w:val="15"/>
          <w:rFonts w:hint="eastAsia" w:ascii="仿宋_GB2312" w:hAnsi="华文楷体" w:eastAsia="仿宋_GB2312"/>
          <w:sz w:val="32"/>
          <w:szCs w:val="32"/>
        </w:rPr>
        <w:t>；昌发展公司、未来城公司等区属平台公司，依托区域产业资源</w:t>
      </w:r>
      <w:r>
        <w:rPr>
          <w:rFonts w:hint="eastAsia" w:ascii="仿宋_GB2312" w:hAnsi="仿宋_GB2312" w:eastAsia="仿宋_GB2312" w:cs="仿宋_GB2312"/>
          <w:sz w:val="32"/>
          <w:szCs w:val="32"/>
        </w:rPr>
        <w:t>组织“1对1”“1对N”等场景供需对接活动</w:t>
      </w:r>
      <w:r>
        <w:rPr>
          <w:rStyle w:val="15"/>
          <w:rFonts w:hint="eastAsia" w:ascii="仿宋_GB2312" w:hAnsi="华文楷体" w:eastAsia="仿宋_GB2312"/>
          <w:sz w:val="32"/>
          <w:szCs w:val="32"/>
        </w:rPr>
        <w:t>。</w:t>
      </w:r>
      <w:r>
        <w:rPr>
          <w:rStyle w:val="15"/>
          <w:rFonts w:hint="eastAsia" w:ascii="仿宋_GB2312" w:hAnsi="仿宋_GB2312" w:eastAsia="仿宋_GB2312"/>
          <w:sz w:val="32"/>
          <w:szCs w:val="32"/>
        </w:rPr>
        <w:t>形成行业主管部门和镇街挖掘场景、央国企开放场景、科技和高校主管部门征集技术方案、平台公司负责供需对接的协同联动工作体系。</w:t>
      </w:r>
    </w:p>
    <w:p w14:paraId="035FF4CA">
      <w:pPr>
        <w:spacing w:after="0" w:line="560" w:lineRule="exact"/>
        <w:ind w:firstLine="640" w:firstLineChars="200"/>
        <w:textAlignment w:val="baseline"/>
        <w:rPr>
          <w:rStyle w:val="15"/>
          <w:rFonts w:hint="eastAsia" w:ascii="楷体_GB2312" w:hAnsi="楷体_GB2312" w:eastAsia="楷体_GB2312"/>
          <w:color w:val="000000"/>
          <w:sz w:val="32"/>
          <w:szCs w:val="32"/>
        </w:rPr>
      </w:pPr>
      <w:r>
        <w:rPr>
          <w:rStyle w:val="15"/>
          <w:rFonts w:ascii="楷体_GB2312" w:hAnsi="楷体_GB2312" w:eastAsia="楷体_GB2312"/>
          <w:color w:val="000000"/>
          <w:sz w:val="32"/>
          <w:szCs w:val="32"/>
        </w:rPr>
        <w:t>（</w:t>
      </w:r>
      <w:r>
        <w:rPr>
          <w:rStyle w:val="15"/>
          <w:rFonts w:hint="eastAsia" w:ascii="楷体_GB2312" w:hAnsi="楷体_GB2312" w:eastAsia="楷体_GB2312"/>
          <w:color w:val="000000"/>
          <w:sz w:val="32"/>
          <w:szCs w:val="32"/>
        </w:rPr>
        <w:t>二</w:t>
      </w:r>
      <w:r>
        <w:rPr>
          <w:rStyle w:val="15"/>
          <w:rFonts w:ascii="楷体_GB2312" w:hAnsi="楷体_GB2312" w:eastAsia="楷体_GB2312"/>
          <w:color w:val="000000"/>
          <w:sz w:val="32"/>
          <w:szCs w:val="32"/>
        </w:rPr>
        <w:t>）创新体制机制。</w:t>
      </w:r>
      <w:r>
        <w:rPr>
          <w:rStyle w:val="15"/>
          <w:rFonts w:hint="eastAsia" w:ascii="仿宋_GB2312" w:hAnsi="仿宋_GB2312" w:eastAsia="仿宋_GB2312"/>
          <w:b/>
          <w:bCs/>
          <w:sz w:val="32"/>
          <w:szCs w:val="32"/>
        </w:rPr>
        <w:t>一是</w:t>
      </w:r>
      <w:r>
        <w:rPr>
          <w:rStyle w:val="15"/>
          <w:rFonts w:hint="eastAsia" w:ascii="仿宋_GB2312" w:hAnsi="仿宋_GB2312" w:eastAsia="仿宋_GB2312"/>
          <w:sz w:val="32"/>
          <w:szCs w:val="32"/>
        </w:rPr>
        <w:t>构建全流程场景培育机制，形成“需求发布、场景验证、示范推广”培育闭环，持续挖掘可复制标杆场景，深化产学研协同联动，成熟一批、发布一批、评估一批、迭代一批，逐步形成全区范围内分级分类场景培育机制。</w:t>
      </w:r>
      <w:r>
        <w:rPr>
          <w:rStyle w:val="15"/>
          <w:rFonts w:hint="eastAsia" w:ascii="仿宋_GB2312" w:hAnsi="仿宋_GB2312" w:eastAsia="仿宋_GB2312"/>
          <w:b/>
          <w:bCs/>
          <w:sz w:val="32"/>
          <w:szCs w:val="32"/>
        </w:rPr>
        <w:t>二是</w:t>
      </w:r>
      <w:r>
        <w:rPr>
          <w:rStyle w:val="15"/>
          <w:rFonts w:hint="eastAsia" w:ascii="仿宋_GB2312" w:hAnsi="仿宋_GB2312" w:eastAsia="仿宋_GB2312"/>
          <w:sz w:val="32"/>
          <w:szCs w:val="32"/>
        </w:rPr>
        <w:t>搭建场景供需精准对接机制，</w:t>
      </w:r>
      <w:r>
        <w:rPr>
          <w:rFonts w:hint="eastAsia" w:ascii="仿宋_GB2312" w:hAnsi="仿宋_GB2312" w:eastAsia="仿宋_GB2312" w:cs="仿宋_GB2312"/>
          <w:sz w:val="32"/>
          <w:szCs w:val="32"/>
        </w:rPr>
        <w:t>依托中关村论坛、服贸会等市级活动、生命科学论坛、能源转型大会、明文化论坛等区级活动以及</w:t>
      </w:r>
      <w:r>
        <w:rPr>
          <w:rFonts w:hint="eastAsia" w:ascii="仿宋_GB2312" w:hAnsi="方正小标宋简体" w:eastAsia="仿宋_GB2312"/>
          <w:sz w:val="32"/>
          <w:szCs w:val="32"/>
        </w:rPr>
        <w:t>数字经济科创大赛等现有品牌赛事，</w:t>
      </w:r>
      <w:r>
        <w:rPr>
          <w:rFonts w:hint="eastAsia" w:ascii="仿宋_GB2312" w:hAnsi="仿宋_GB2312" w:eastAsia="仿宋_GB2312" w:cs="仿宋_GB2312"/>
          <w:sz w:val="32"/>
          <w:szCs w:val="32"/>
        </w:rPr>
        <w:t>适时组织发布各种活动、大赛实现资源共享，推动技术广泛应用，</w:t>
      </w:r>
      <w:r>
        <w:rPr>
          <w:rFonts w:hint="eastAsia" w:ascii="仿宋_GB2312" w:hAnsi="方正小标宋简体" w:eastAsia="仿宋_GB2312"/>
          <w:sz w:val="32"/>
          <w:szCs w:val="32"/>
        </w:rPr>
        <w:t>常态化开展场景供需对接、创新成果路演交流；</w:t>
      </w:r>
      <w:r>
        <w:rPr>
          <w:rFonts w:hint="eastAsia" w:ascii="仿宋_GB2312" w:hAnsi="仿宋_GB2312" w:eastAsia="仿宋_GB2312" w:cs="仿宋_GB2312"/>
          <w:sz w:val="32"/>
          <w:szCs w:val="32"/>
        </w:rPr>
        <w:t>各园区定期组织园区开放日、场景对接沙龙等，推动“创新成果就地转化、就近应用”。</w:t>
      </w:r>
    </w:p>
    <w:p w14:paraId="2254A3D5">
      <w:pPr>
        <w:spacing w:after="0" w:line="560" w:lineRule="exact"/>
        <w:ind w:firstLine="640" w:firstLineChars="200"/>
        <w:textAlignment w:val="baseline"/>
        <w:rPr>
          <w:rStyle w:val="15"/>
          <w:rFonts w:hint="eastAsia" w:ascii="仿宋_GB2312" w:hAnsi="仿宋" w:eastAsia="仿宋_GB2312"/>
          <w:color w:val="000000"/>
          <w:sz w:val="32"/>
          <w:szCs w:val="32"/>
        </w:rPr>
      </w:pPr>
      <w:r>
        <w:rPr>
          <w:rStyle w:val="15"/>
          <w:rFonts w:ascii="楷体_GB2312" w:hAnsi="楷体_GB2312" w:eastAsia="楷体_GB2312"/>
          <w:color w:val="000000"/>
          <w:sz w:val="32"/>
          <w:szCs w:val="32"/>
        </w:rPr>
        <w:t>（</w:t>
      </w:r>
      <w:r>
        <w:rPr>
          <w:rStyle w:val="15"/>
          <w:rFonts w:hint="eastAsia" w:ascii="楷体_GB2312" w:hAnsi="楷体_GB2312" w:eastAsia="楷体_GB2312"/>
          <w:color w:val="000000"/>
          <w:sz w:val="32"/>
          <w:szCs w:val="32"/>
        </w:rPr>
        <w:t>三</w:t>
      </w:r>
      <w:r>
        <w:rPr>
          <w:rStyle w:val="15"/>
          <w:rFonts w:ascii="楷体_GB2312" w:hAnsi="楷体_GB2312" w:eastAsia="楷体_GB2312"/>
          <w:color w:val="000000"/>
          <w:sz w:val="32"/>
          <w:szCs w:val="32"/>
        </w:rPr>
        <w:t>）做好宣传推广。</w:t>
      </w:r>
      <w:r>
        <w:rPr>
          <w:rStyle w:val="15"/>
          <w:rFonts w:ascii="仿宋_GB2312" w:hAnsi="仿宋" w:eastAsia="仿宋_GB2312"/>
          <w:color w:val="000000"/>
          <w:sz w:val="32"/>
          <w:szCs w:val="32"/>
        </w:rPr>
        <w:t>加强政策解读和宣传引导，推广应用场景建设先进经验和典型案例，</w:t>
      </w:r>
      <w:r>
        <w:rPr>
          <w:rStyle w:val="15"/>
          <w:rFonts w:hint="eastAsia" w:ascii="仿宋_GB2312" w:hAnsi="仿宋" w:eastAsia="仿宋_GB2312"/>
          <w:color w:val="000000"/>
          <w:sz w:val="32"/>
          <w:szCs w:val="32"/>
        </w:rPr>
        <w:t>加快以产业需求为导向的技术创新和产品迭代</w:t>
      </w:r>
      <w:r>
        <w:rPr>
          <w:rStyle w:val="15"/>
          <w:rFonts w:ascii="仿宋_GB2312" w:hAnsi="仿宋" w:eastAsia="仿宋_GB2312"/>
          <w:color w:val="000000"/>
          <w:sz w:val="32"/>
          <w:szCs w:val="32"/>
        </w:rPr>
        <w:t>。加大</w:t>
      </w:r>
      <w:r>
        <w:rPr>
          <w:rStyle w:val="15"/>
          <w:rFonts w:hint="eastAsia" w:ascii="仿宋_GB2312" w:hAnsi="仿宋" w:eastAsia="仿宋_GB2312"/>
          <w:color w:val="000000"/>
          <w:sz w:val="32"/>
          <w:szCs w:val="32"/>
        </w:rPr>
        <w:t>各主体</w:t>
      </w:r>
      <w:r>
        <w:rPr>
          <w:rStyle w:val="15"/>
          <w:rFonts w:ascii="仿宋_GB2312" w:hAnsi="仿宋" w:eastAsia="仿宋_GB2312"/>
          <w:color w:val="000000"/>
          <w:sz w:val="32"/>
          <w:szCs w:val="32"/>
        </w:rPr>
        <w:t>对</w:t>
      </w:r>
      <w:r>
        <w:rPr>
          <w:rStyle w:val="15"/>
          <w:rFonts w:hint="eastAsia" w:ascii="仿宋_GB2312" w:hAnsi="仿宋" w:eastAsia="仿宋_GB2312"/>
          <w:color w:val="000000"/>
          <w:sz w:val="32"/>
          <w:szCs w:val="32"/>
        </w:rPr>
        <w:t>应用场景</w:t>
      </w:r>
      <w:r>
        <w:rPr>
          <w:rStyle w:val="15"/>
          <w:rFonts w:ascii="仿宋_GB2312" w:hAnsi="仿宋" w:eastAsia="仿宋_GB2312"/>
          <w:color w:val="000000"/>
          <w:sz w:val="32"/>
          <w:szCs w:val="32"/>
        </w:rPr>
        <w:t>的认知，进一步营造</w:t>
      </w:r>
      <w:r>
        <w:rPr>
          <w:rStyle w:val="15"/>
          <w:rFonts w:hint="eastAsia" w:ascii="仿宋_GB2312" w:hAnsi="仿宋" w:eastAsia="仿宋_GB2312"/>
          <w:color w:val="000000"/>
          <w:sz w:val="32"/>
          <w:szCs w:val="32"/>
        </w:rPr>
        <w:t>各市场主体</w:t>
      </w:r>
      <w:r>
        <w:rPr>
          <w:rStyle w:val="15"/>
          <w:rFonts w:ascii="仿宋_GB2312" w:hAnsi="仿宋" w:eastAsia="仿宋_GB2312"/>
          <w:color w:val="000000"/>
          <w:sz w:val="32"/>
          <w:szCs w:val="32"/>
        </w:rPr>
        <w:t>参与试验的便利性，以及利用试验结果反馈完善产品的积极性，积极营造推动新技术新产品新模式应用的浓厚社会氛围和创新文化。</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楷体">
    <w:altName w:val="楷体_GB2312"/>
    <w:panose1 w:val="00000000000000000000"/>
    <w:charset w:val="86"/>
    <w:family w:val="auto"/>
    <w:pitch w:val="default"/>
    <w:sig w:usb0="00000000" w:usb1="00000000" w:usb2="00000010" w:usb3="00000000" w:csb0="0004009F"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1511005"/>
    </w:sdtPr>
    <w:sdtContent>
      <w:p w14:paraId="47897977">
        <w:pPr>
          <w:pStyle w:val="6"/>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3EE1A38">
    <w:pPr>
      <w:pStyle w:val="6"/>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444"/>
    <w:rsid w:val="00037AE0"/>
    <w:rsid w:val="0004364C"/>
    <w:rsid w:val="00043F5F"/>
    <w:rsid w:val="00054A61"/>
    <w:rsid w:val="00072A23"/>
    <w:rsid w:val="00072C31"/>
    <w:rsid w:val="000958FB"/>
    <w:rsid w:val="000B4688"/>
    <w:rsid w:val="000B4794"/>
    <w:rsid w:val="000B61EC"/>
    <w:rsid w:val="000C7583"/>
    <w:rsid w:val="000E10F4"/>
    <w:rsid w:val="000F2AC1"/>
    <w:rsid w:val="000F35D1"/>
    <w:rsid w:val="00133D7B"/>
    <w:rsid w:val="00143597"/>
    <w:rsid w:val="0014448E"/>
    <w:rsid w:val="00150F5F"/>
    <w:rsid w:val="00161299"/>
    <w:rsid w:val="00174307"/>
    <w:rsid w:val="00191529"/>
    <w:rsid w:val="001951CE"/>
    <w:rsid w:val="001B2959"/>
    <w:rsid w:val="001C01D6"/>
    <w:rsid w:val="001E00EC"/>
    <w:rsid w:val="001E7C1E"/>
    <w:rsid w:val="0023685A"/>
    <w:rsid w:val="00262B92"/>
    <w:rsid w:val="00277289"/>
    <w:rsid w:val="002A52C7"/>
    <w:rsid w:val="002A5547"/>
    <w:rsid w:val="002A698E"/>
    <w:rsid w:val="002B120E"/>
    <w:rsid w:val="002B18EE"/>
    <w:rsid w:val="002B57B4"/>
    <w:rsid w:val="002C0DF5"/>
    <w:rsid w:val="002E2AD1"/>
    <w:rsid w:val="002E4680"/>
    <w:rsid w:val="0030478B"/>
    <w:rsid w:val="00304E3A"/>
    <w:rsid w:val="00305B24"/>
    <w:rsid w:val="003327AB"/>
    <w:rsid w:val="0035694F"/>
    <w:rsid w:val="003610A6"/>
    <w:rsid w:val="003665B0"/>
    <w:rsid w:val="00375F58"/>
    <w:rsid w:val="003D2D61"/>
    <w:rsid w:val="003D5920"/>
    <w:rsid w:val="003E5DA4"/>
    <w:rsid w:val="003F64DE"/>
    <w:rsid w:val="003F7454"/>
    <w:rsid w:val="0042076B"/>
    <w:rsid w:val="004302CE"/>
    <w:rsid w:val="00436B96"/>
    <w:rsid w:val="00451C55"/>
    <w:rsid w:val="004574E9"/>
    <w:rsid w:val="00465EFE"/>
    <w:rsid w:val="004675A0"/>
    <w:rsid w:val="00477692"/>
    <w:rsid w:val="004804CB"/>
    <w:rsid w:val="00485C08"/>
    <w:rsid w:val="004935A5"/>
    <w:rsid w:val="00496D63"/>
    <w:rsid w:val="004B2C2F"/>
    <w:rsid w:val="004C581D"/>
    <w:rsid w:val="004D3312"/>
    <w:rsid w:val="004E6AA0"/>
    <w:rsid w:val="00537047"/>
    <w:rsid w:val="00552990"/>
    <w:rsid w:val="00561398"/>
    <w:rsid w:val="0056321E"/>
    <w:rsid w:val="00571C32"/>
    <w:rsid w:val="00585112"/>
    <w:rsid w:val="005B0A87"/>
    <w:rsid w:val="005C53FC"/>
    <w:rsid w:val="005C7E40"/>
    <w:rsid w:val="005E0E37"/>
    <w:rsid w:val="00606760"/>
    <w:rsid w:val="00621FB0"/>
    <w:rsid w:val="006236FD"/>
    <w:rsid w:val="00646DC4"/>
    <w:rsid w:val="00672E42"/>
    <w:rsid w:val="00681A97"/>
    <w:rsid w:val="00683581"/>
    <w:rsid w:val="0069266B"/>
    <w:rsid w:val="006A12FD"/>
    <w:rsid w:val="006C78B8"/>
    <w:rsid w:val="006D4C2B"/>
    <w:rsid w:val="00707EE1"/>
    <w:rsid w:val="0072628E"/>
    <w:rsid w:val="00736382"/>
    <w:rsid w:val="0073776F"/>
    <w:rsid w:val="0075322F"/>
    <w:rsid w:val="0076337A"/>
    <w:rsid w:val="00774B07"/>
    <w:rsid w:val="007765E2"/>
    <w:rsid w:val="00794BCD"/>
    <w:rsid w:val="007A0AC9"/>
    <w:rsid w:val="007A1830"/>
    <w:rsid w:val="007B0891"/>
    <w:rsid w:val="007E0A4D"/>
    <w:rsid w:val="007E3BD9"/>
    <w:rsid w:val="007F3F2B"/>
    <w:rsid w:val="00806733"/>
    <w:rsid w:val="00810991"/>
    <w:rsid w:val="00817ED4"/>
    <w:rsid w:val="0082325B"/>
    <w:rsid w:val="008571A6"/>
    <w:rsid w:val="00857235"/>
    <w:rsid w:val="00857C9F"/>
    <w:rsid w:val="008B409C"/>
    <w:rsid w:val="008C789B"/>
    <w:rsid w:val="008D6CA3"/>
    <w:rsid w:val="008E7C08"/>
    <w:rsid w:val="00911749"/>
    <w:rsid w:val="00912CFE"/>
    <w:rsid w:val="00932C2A"/>
    <w:rsid w:val="009463AF"/>
    <w:rsid w:val="00947913"/>
    <w:rsid w:val="0096254E"/>
    <w:rsid w:val="009721EB"/>
    <w:rsid w:val="00976429"/>
    <w:rsid w:val="00993BC4"/>
    <w:rsid w:val="00993E34"/>
    <w:rsid w:val="009D2A2B"/>
    <w:rsid w:val="009D6917"/>
    <w:rsid w:val="009F28C8"/>
    <w:rsid w:val="009F6309"/>
    <w:rsid w:val="009F7C3B"/>
    <w:rsid w:val="00A119DE"/>
    <w:rsid w:val="00A17921"/>
    <w:rsid w:val="00A22399"/>
    <w:rsid w:val="00A242AB"/>
    <w:rsid w:val="00A461CB"/>
    <w:rsid w:val="00A82A76"/>
    <w:rsid w:val="00A9124C"/>
    <w:rsid w:val="00A93435"/>
    <w:rsid w:val="00AA10D5"/>
    <w:rsid w:val="00AA6F33"/>
    <w:rsid w:val="00AC7A7A"/>
    <w:rsid w:val="00AD0492"/>
    <w:rsid w:val="00AE6CC1"/>
    <w:rsid w:val="00AF412C"/>
    <w:rsid w:val="00B100FE"/>
    <w:rsid w:val="00B1304C"/>
    <w:rsid w:val="00B275A9"/>
    <w:rsid w:val="00B53F13"/>
    <w:rsid w:val="00B72148"/>
    <w:rsid w:val="00B7697C"/>
    <w:rsid w:val="00B864B9"/>
    <w:rsid w:val="00B95AC7"/>
    <w:rsid w:val="00BA6EC4"/>
    <w:rsid w:val="00BC4B51"/>
    <w:rsid w:val="00BC7EB9"/>
    <w:rsid w:val="00BD33E3"/>
    <w:rsid w:val="00C05B40"/>
    <w:rsid w:val="00C07A5C"/>
    <w:rsid w:val="00C42D27"/>
    <w:rsid w:val="00C91947"/>
    <w:rsid w:val="00C92697"/>
    <w:rsid w:val="00C934E3"/>
    <w:rsid w:val="00C940C2"/>
    <w:rsid w:val="00CA6543"/>
    <w:rsid w:val="00CB379B"/>
    <w:rsid w:val="00CB3BD2"/>
    <w:rsid w:val="00CB7ADD"/>
    <w:rsid w:val="00CC3DAE"/>
    <w:rsid w:val="00CC422C"/>
    <w:rsid w:val="00CD5444"/>
    <w:rsid w:val="00CD7761"/>
    <w:rsid w:val="00CE0C2F"/>
    <w:rsid w:val="00CF0464"/>
    <w:rsid w:val="00CF3A6D"/>
    <w:rsid w:val="00D0164F"/>
    <w:rsid w:val="00D42334"/>
    <w:rsid w:val="00D45131"/>
    <w:rsid w:val="00D55FF7"/>
    <w:rsid w:val="00D6600D"/>
    <w:rsid w:val="00D82E36"/>
    <w:rsid w:val="00D87F51"/>
    <w:rsid w:val="00D9673A"/>
    <w:rsid w:val="00DD1C44"/>
    <w:rsid w:val="00E04447"/>
    <w:rsid w:val="00E1718C"/>
    <w:rsid w:val="00E259B7"/>
    <w:rsid w:val="00E40211"/>
    <w:rsid w:val="00E87618"/>
    <w:rsid w:val="00EB3408"/>
    <w:rsid w:val="00EB375D"/>
    <w:rsid w:val="00ED0C18"/>
    <w:rsid w:val="00EE78AE"/>
    <w:rsid w:val="00EF5399"/>
    <w:rsid w:val="00F032AD"/>
    <w:rsid w:val="00F1541D"/>
    <w:rsid w:val="00F20851"/>
    <w:rsid w:val="00F2463C"/>
    <w:rsid w:val="00F249C1"/>
    <w:rsid w:val="00F31EAF"/>
    <w:rsid w:val="00F33501"/>
    <w:rsid w:val="00F44F38"/>
    <w:rsid w:val="00F66C38"/>
    <w:rsid w:val="00F8200E"/>
    <w:rsid w:val="00F945E8"/>
    <w:rsid w:val="00F9627C"/>
    <w:rsid w:val="00F96EA3"/>
    <w:rsid w:val="00FA017B"/>
    <w:rsid w:val="00FA3F52"/>
    <w:rsid w:val="00FC4487"/>
    <w:rsid w:val="00FE5525"/>
    <w:rsid w:val="00FF7157"/>
    <w:rsid w:val="04F95453"/>
    <w:rsid w:val="06D93780"/>
    <w:rsid w:val="08646D1C"/>
    <w:rsid w:val="0DD55551"/>
    <w:rsid w:val="103B19E1"/>
    <w:rsid w:val="22B578E1"/>
    <w:rsid w:val="2C944FA4"/>
    <w:rsid w:val="357A7237"/>
    <w:rsid w:val="38BD5663"/>
    <w:rsid w:val="3FF72223"/>
    <w:rsid w:val="43360846"/>
    <w:rsid w:val="45455860"/>
    <w:rsid w:val="4667346F"/>
    <w:rsid w:val="500727AD"/>
    <w:rsid w:val="539828D2"/>
    <w:rsid w:val="57535F1E"/>
    <w:rsid w:val="5BCF5277"/>
    <w:rsid w:val="69941C0C"/>
    <w:rsid w:val="78CB2056"/>
    <w:rsid w:val="79856B61"/>
    <w:rsid w:val="7C1C6555"/>
    <w:rsid w:val="DFDE9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200" w:leftChars="200"/>
    </w:pPr>
    <w:rPr>
      <w:rFonts w:ascii="Times New Roman" w:hAnsi="Times New Roman" w:eastAsia="宋体" w:cs="Times New Roman"/>
    </w:rPr>
  </w:style>
  <w:style w:type="paragraph" w:styleId="3">
    <w:name w:val="annotation text"/>
    <w:basedOn w:val="1"/>
    <w:link w:val="16"/>
    <w:semiHidden/>
    <w:unhideWhenUsed/>
    <w:qFormat/>
    <w:uiPriority w:val="99"/>
    <w:pPr>
      <w:jc w:val="left"/>
    </w:pPr>
  </w:style>
  <w:style w:type="paragraph" w:styleId="4">
    <w:name w:val="toc 3"/>
    <w:basedOn w:val="1"/>
    <w:next w:val="1"/>
    <w:unhideWhenUsed/>
    <w:qFormat/>
    <w:uiPriority w:val="39"/>
    <w:pPr>
      <w:ind w:left="840" w:leftChars="400"/>
    </w:pPr>
    <w:rPr>
      <w:rFonts w:ascii="Calibri" w:hAnsi="Calibri"/>
    </w:rPr>
  </w:style>
  <w:style w:type="paragraph" w:styleId="5">
    <w:name w:val="Plain Text"/>
    <w:basedOn w:val="1"/>
    <w:next w:val="1"/>
    <w:qFormat/>
    <w:uiPriority w:val="0"/>
    <w:pPr>
      <w:ind w:firstLine="880"/>
    </w:pPr>
    <w:rPr>
      <w:rFonts w:ascii="宋体" w:hAnsi="Courier New"/>
      <w:szCs w:val="24"/>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tabs>
        <w:tab w:val="center" w:pos="4153"/>
        <w:tab w:val="right" w:pos="8306"/>
      </w:tabs>
      <w:snapToGrid w:val="0"/>
      <w:jc w:val="center"/>
    </w:pPr>
    <w:rPr>
      <w:sz w:val="18"/>
      <w:szCs w:val="18"/>
    </w:rPr>
  </w:style>
  <w:style w:type="paragraph" w:styleId="8">
    <w:name w:val="annotation subject"/>
    <w:basedOn w:val="3"/>
    <w:next w:val="3"/>
    <w:link w:val="17"/>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NormalCharacter"/>
    <w:semiHidden/>
    <w:qFormat/>
    <w:uiPriority w:val="0"/>
    <w:rPr>
      <w:rFonts w:ascii="Calibri" w:hAnsi="Calibri" w:eastAsia="宋体" w:cs="等线"/>
      <w:kern w:val="2"/>
      <w:sz w:val="21"/>
      <w:szCs w:val="21"/>
      <w:lang w:val="en-US" w:eastAsia="zh-CN" w:bidi="ar-SA"/>
    </w:rPr>
  </w:style>
  <w:style w:type="character" w:customStyle="1" w:styleId="16">
    <w:name w:val="批注文字 字符"/>
    <w:basedOn w:val="10"/>
    <w:link w:val="3"/>
    <w:semiHidden/>
    <w:qFormat/>
    <w:uiPriority w:val="99"/>
  </w:style>
  <w:style w:type="character" w:customStyle="1" w:styleId="17">
    <w:name w:val="批注主题 字符"/>
    <w:basedOn w:val="16"/>
    <w:link w:val="8"/>
    <w:semiHidden/>
    <w:qFormat/>
    <w:uiPriority w:val="99"/>
    <w:rPr>
      <w:b/>
      <w:bCs/>
    </w:rPr>
  </w:style>
  <w:style w:type="paragraph" w:customStyle="1" w:styleId="18">
    <w:name w:val="修订1"/>
    <w:hidden/>
    <w:semi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customStyle="1" w:styleId="19">
    <w:name w:val="修订2"/>
    <w:hidden/>
    <w:semi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customStyle="1" w:styleId="20">
    <w:name w:val="修订3"/>
    <w:hidden/>
    <w:semi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customStyle="1" w:styleId="21">
    <w:name w:val="正文-未来城"/>
    <w:basedOn w:val="1"/>
    <w:qFormat/>
    <w:uiPriority w:val="0"/>
    <w:pPr>
      <w:ind w:firstLine="640"/>
    </w:pPr>
    <w:rPr>
      <w:rFonts w:ascii="仿宋_GB2312" w:hAnsi="仿宋_GB2312" w:cs="仿宋_GB2312"/>
      <w:bCs/>
      <w:kern w:val="0"/>
      <w:szCs w:val="32"/>
      <w:lang w:val="zh-CN"/>
    </w:rPr>
  </w:style>
  <w:style w:type="paragraph" w:customStyle="1" w:styleId="22">
    <w:name w:val="Revision"/>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A1288FD9-6D2F-4149-828B-40291E9E66C3}">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1101</Words>
  <Characters>6276</Characters>
  <Lines>52</Lines>
  <Paragraphs>14</Paragraphs>
  <TotalTime>4</TotalTime>
  <ScaleCrop>false</ScaleCrop>
  <LinksUpToDate>false</LinksUpToDate>
  <CharactersWithSpaces>7363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2026-08-13T18:47:00Z</dcterms:created>
  <dc:creator>luxu902@outlook.com</dc:creator>
  <cp:lastModifiedBy>HIGC</cp:lastModifiedBy>
  <cp:lastPrinted>2026-08-11T00:16:00Z</cp:lastPrinted>
  <dcterms:modified xsi:type="dcterms:W3CDTF">2026-08-21T23:52:38Z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eyJoZGlkIjoiNjBjZGYyZDAzZDZlMzExZmE3ZGJkNDUyZmMzNzcwNWUifQ==</vt:lpwstr>
  </property>
  <property fmtid="{D5CDD505-2E9C-101B-9397-08002B2CF9AE}" pid="4" name="ICV">
    <vt:lpwstr>D0D032FC057B42E98BC23A85F4DCF7CA_12</vt:lpwstr>
  </property>
</Properties>
</file>